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0499" w14:textId="49EC0EF4" w:rsidR="00580161" w:rsidRDefault="00580161" w:rsidP="00CF13FC">
      <w:pPr>
        <w:pStyle w:val="BodyText"/>
        <w:rPr>
          <w:rFonts w:ascii="Arial" w:hAnsi="Arial" w:cs="Arial"/>
          <w:b/>
          <w:bCs/>
          <w:color w:val="000000" w:themeColor="text1"/>
          <w:sz w:val="22"/>
        </w:rPr>
      </w:pPr>
      <w:r w:rsidRPr="00FD4768">
        <w:rPr>
          <w:rFonts w:ascii="Arial" w:hAnsi="Arial" w:cs="Arial"/>
          <w:b/>
          <w:bCs/>
          <w:color w:val="000000" w:themeColor="text1"/>
          <w:sz w:val="22"/>
        </w:rPr>
        <w:t xml:space="preserve">Appendix </w:t>
      </w:r>
      <w:r w:rsidR="006E1AF3">
        <w:rPr>
          <w:rFonts w:ascii="Arial" w:hAnsi="Arial" w:cs="Arial"/>
          <w:b/>
          <w:bCs/>
          <w:color w:val="000000" w:themeColor="text1"/>
          <w:sz w:val="22"/>
        </w:rPr>
        <w:t>I</w:t>
      </w:r>
    </w:p>
    <w:p w14:paraId="2861A720" w14:textId="144AC396" w:rsidR="00636EB9" w:rsidRPr="00F01478" w:rsidRDefault="00636EB9" w:rsidP="00CF13FC">
      <w:pPr>
        <w:pStyle w:val="BodyText"/>
        <w:rPr>
          <w:rFonts w:ascii="Arial" w:hAnsi="Arial" w:cs="Arial"/>
          <w:b/>
          <w:bCs/>
          <w:color w:val="000000" w:themeColor="text1"/>
          <w:sz w:val="22"/>
        </w:rPr>
      </w:pPr>
      <w:r w:rsidRPr="00F01478">
        <w:rPr>
          <w:rFonts w:ascii="Arial" w:hAnsi="Arial" w:cs="Arial"/>
          <w:b/>
          <w:bCs/>
          <w:color w:val="000000" w:themeColor="text1"/>
          <w:sz w:val="22"/>
        </w:rPr>
        <w:t xml:space="preserve">Investment Committee’s </w:t>
      </w:r>
      <w:r w:rsidR="00D52A8C" w:rsidRPr="00F01478">
        <w:rPr>
          <w:rFonts w:ascii="Arial" w:hAnsi="Arial" w:cs="Arial"/>
          <w:b/>
          <w:bCs/>
          <w:color w:val="000000" w:themeColor="text1"/>
          <w:sz w:val="22"/>
        </w:rPr>
        <w:t xml:space="preserve">Report to </w:t>
      </w:r>
      <w:r w:rsidRPr="00F01478">
        <w:rPr>
          <w:rFonts w:ascii="Arial" w:hAnsi="Arial" w:cs="Arial"/>
          <w:b/>
          <w:bCs/>
          <w:color w:val="000000" w:themeColor="text1"/>
          <w:sz w:val="22"/>
        </w:rPr>
        <w:t>Council</w:t>
      </w:r>
      <w:r w:rsidR="00D52A8C" w:rsidRPr="00F01478">
        <w:rPr>
          <w:rFonts w:ascii="Arial" w:hAnsi="Arial" w:cs="Arial"/>
          <w:b/>
          <w:bCs/>
          <w:color w:val="000000" w:themeColor="text1"/>
          <w:sz w:val="22"/>
        </w:rPr>
        <w:t xml:space="preserve"> on ESG and Sustainability</w:t>
      </w:r>
    </w:p>
    <w:p w14:paraId="1C99FCAC" w14:textId="7B1E5675" w:rsidR="00580161" w:rsidRPr="00F01478" w:rsidRDefault="00DE49A2" w:rsidP="00CF13FC">
      <w:pPr>
        <w:pStyle w:val="BodyText"/>
        <w:rPr>
          <w:rFonts w:ascii="Arial" w:hAnsi="Arial" w:cs="Arial"/>
          <w:b/>
          <w:bCs/>
          <w:color w:val="000000" w:themeColor="text1"/>
          <w:sz w:val="22"/>
        </w:rPr>
      </w:pPr>
      <w:r>
        <w:rPr>
          <w:rFonts w:ascii="Arial" w:hAnsi="Arial" w:cs="Arial"/>
          <w:b/>
          <w:bCs/>
          <w:color w:val="000000" w:themeColor="text1"/>
          <w:sz w:val="22"/>
        </w:rPr>
        <w:t xml:space="preserve">14 </w:t>
      </w:r>
      <w:r w:rsidR="00580161">
        <w:rPr>
          <w:rFonts w:ascii="Arial" w:hAnsi="Arial" w:cs="Arial"/>
          <w:b/>
          <w:bCs/>
          <w:color w:val="000000" w:themeColor="text1"/>
          <w:sz w:val="22"/>
        </w:rPr>
        <w:t>J</w:t>
      </w:r>
      <w:r w:rsidR="00AD1FA7">
        <w:rPr>
          <w:rFonts w:ascii="Arial" w:hAnsi="Arial" w:cs="Arial"/>
          <w:b/>
          <w:bCs/>
          <w:color w:val="000000" w:themeColor="text1"/>
          <w:sz w:val="22"/>
        </w:rPr>
        <w:t>uly</w:t>
      </w:r>
      <w:r w:rsidR="00580161">
        <w:rPr>
          <w:rFonts w:ascii="Arial" w:hAnsi="Arial" w:cs="Arial"/>
          <w:b/>
          <w:bCs/>
          <w:color w:val="000000" w:themeColor="text1"/>
          <w:sz w:val="22"/>
        </w:rPr>
        <w:t xml:space="preserve"> 202</w:t>
      </w:r>
      <w:r w:rsidR="00AD1FA7">
        <w:rPr>
          <w:rFonts w:ascii="Arial" w:hAnsi="Arial" w:cs="Arial"/>
          <w:b/>
          <w:bCs/>
          <w:color w:val="000000" w:themeColor="text1"/>
          <w:sz w:val="22"/>
        </w:rPr>
        <w:t>5</w:t>
      </w:r>
    </w:p>
    <w:p w14:paraId="5C6C03E1" w14:textId="5BB15AD8" w:rsidR="001C5721" w:rsidRDefault="00CC2D88"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OU Investment Policy Statement </w:t>
      </w:r>
    </w:p>
    <w:p w14:paraId="01D04004" w14:textId="3F1208FA" w:rsidR="00CC2D88" w:rsidRDefault="00B958A5" w:rsidP="004708BC">
      <w:pPr>
        <w:spacing w:after="240"/>
        <w:rPr>
          <w:rFonts w:ascii="Arial" w:hAnsi="Arial" w:cs="Arial"/>
          <w:sz w:val="20"/>
          <w:szCs w:val="20"/>
        </w:rPr>
      </w:pPr>
      <w:r w:rsidRPr="004708BC">
        <w:rPr>
          <w:rFonts w:ascii="Arial" w:hAnsi="Arial" w:cs="Arial"/>
          <w:sz w:val="20"/>
          <w:szCs w:val="20"/>
        </w:rPr>
        <w:t xml:space="preserve">The </w:t>
      </w:r>
      <w:r>
        <w:rPr>
          <w:rFonts w:ascii="Arial" w:hAnsi="Arial" w:cs="Arial"/>
          <w:sz w:val="20"/>
          <w:szCs w:val="20"/>
        </w:rPr>
        <w:t xml:space="preserve">University’s Investment Policy Statement was </w:t>
      </w:r>
      <w:r w:rsidR="00E01D2C">
        <w:rPr>
          <w:rFonts w:ascii="Arial" w:hAnsi="Arial" w:cs="Arial"/>
          <w:sz w:val="20"/>
          <w:szCs w:val="20"/>
        </w:rPr>
        <w:t xml:space="preserve">initially </w:t>
      </w:r>
      <w:r>
        <w:rPr>
          <w:rFonts w:ascii="Arial" w:hAnsi="Arial" w:cs="Arial"/>
          <w:sz w:val="20"/>
          <w:szCs w:val="20"/>
        </w:rPr>
        <w:t>approved by Council in November 202</w:t>
      </w:r>
      <w:r w:rsidR="00E01D2C">
        <w:rPr>
          <w:rFonts w:ascii="Arial" w:hAnsi="Arial" w:cs="Arial"/>
          <w:sz w:val="20"/>
          <w:szCs w:val="20"/>
        </w:rPr>
        <w:t>1</w:t>
      </w:r>
      <w:r w:rsidR="00DB73D8">
        <w:rPr>
          <w:rFonts w:ascii="Arial" w:hAnsi="Arial" w:cs="Arial"/>
          <w:sz w:val="20"/>
          <w:szCs w:val="20"/>
        </w:rPr>
        <w:t xml:space="preserve">. </w:t>
      </w:r>
      <w:r w:rsidR="00460DB7">
        <w:rPr>
          <w:rFonts w:ascii="Arial" w:hAnsi="Arial" w:cs="Arial"/>
          <w:sz w:val="20"/>
          <w:szCs w:val="20"/>
        </w:rPr>
        <w:t xml:space="preserve">This document describes how the University manages its investment assets and is available </w:t>
      </w:r>
      <w:r>
        <w:rPr>
          <w:rFonts w:ascii="Arial" w:hAnsi="Arial" w:cs="Arial"/>
          <w:sz w:val="20"/>
          <w:szCs w:val="20"/>
        </w:rPr>
        <w:t xml:space="preserve">on its website: </w:t>
      </w:r>
      <w:hyperlink r:id="rId11" w:history="1">
        <w:r w:rsidR="004708BC">
          <w:rPr>
            <w:rStyle w:val="Hyperlink"/>
            <w:rFonts w:ascii="Arial" w:hAnsi="Arial" w:cs="Arial"/>
            <w:sz w:val="20"/>
            <w:szCs w:val="20"/>
          </w:rPr>
          <w:t>OU Investment Policy Statement</w:t>
        </w:r>
      </w:hyperlink>
      <w:r w:rsidR="009F6926">
        <w:rPr>
          <w:rFonts w:ascii="Arial" w:hAnsi="Arial" w:cs="Arial"/>
          <w:sz w:val="20"/>
          <w:szCs w:val="20"/>
        </w:rPr>
        <w:t>, and is included in the Appendix of this document.</w:t>
      </w:r>
    </w:p>
    <w:p w14:paraId="10725B33" w14:textId="312C6190" w:rsidR="00D7572F" w:rsidRPr="00D52A8C" w:rsidRDefault="00D7572F" w:rsidP="00501BE2">
      <w:pPr>
        <w:pStyle w:val="ListParagraph"/>
        <w:numPr>
          <w:ilvl w:val="0"/>
          <w:numId w:val="8"/>
        </w:numPr>
        <w:spacing w:after="240"/>
        <w:jc w:val="both"/>
        <w:rPr>
          <w:rFonts w:ascii="Arial" w:hAnsi="Arial" w:cs="Arial"/>
          <w:b/>
          <w:sz w:val="20"/>
          <w:szCs w:val="20"/>
        </w:rPr>
      </w:pPr>
      <w:r w:rsidRPr="00D52A8C">
        <w:rPr>
          <w:rFonts w:ascii="Arial" w:hAnsi="Arial" w:cs="Arial"/>
          <w:b/>
          <w:sz w:val="20"/>
          <w:szCs w:val="20"/>
        </w:rPr>
        <w:t xml:space="preserve">Governance and </w:t>
      </w:r>
      <w:r w:rsidR="009F7354">
        <w:rPr>
          <w:rFonts w:ascii="Arial" w:hAnsi="Arial" w:cs="Arial"/>
          <w:b/>
          <w:sz w:val="20"/>
          <w:szCs w:val="20"/>
        </w:rPr>
        <w:t>O</w:t>
      </w:r>
      <w:r w:rsidRPr="00D52A8C">
        <w:rPr>
          <w:rFonts w:ascii="Arial" w:hAnsi="Arial" w:cs="Arial"/>
          <w:b/>
          <w:sz w:val="20"/>
          <w:szCs w:val="20"/>
        </w:rPr>
        <w:t xml:space="preserve">versight </w:t>
      </w:r>
    </w:p>
    <w:p w14:paraId="0395B5B7" w14:textId="6DE58242"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Council is the trustee of the University’s investments and it is bound by its fiduciary duties to ensure that investments are managed in accordance with the University’s charitable objectives. The University holds a large amount of funds on trust to be applied for specific purposes narrower than the University’s general purposes of teaching and research – for example for professorial chairs, lectureship posts, scholarship schemes, student bursaries, and academic prizes. As trustee, the University, acting through Council, has ultimate responsibility for these trust funds and their administration. </w:t>
      </w:r>
    </w:p>
    <w:p w14:paraId="2168D365" w14:textId="77777777"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Council delegates the strategic oversight and supervision of its investments to the Investment Committee; except where investments are the responsibility of the Finance Committee or other bodies; and those held by Societies or Oxford University Press (OUP). Council’s key responsibilities are to set suitable investment objectives and, where relevant, distribution policies, as advised by the Investment Committee. </w:t>
      </w:r>
    </w:p>
    <w:p w14:paraId="4D82A015" w14:textId="26AA6CDA" w:rsidR="005A4A0F" w:rsidRPr="0020419B" w:rsidRDefault="005A4A0F" w:rsidP="00501BE2">
      <w:pPr>
        <w:pStyle w:val="BodyText"/>
        <w:numPr>
          <w:ilvl w:val="1"/>
          <w:numId w:val="8"/>
        </w:numPr>
        <w:spacing w:before="0" w:after="0"/>
        <w:rPr>
          <w:rFonts w:ascii="Arial" w:hAnsi="Arial" w:cs="Arial"/>
          <w:b/>
          <w:bCs/>
          <w:sz w:val="20"/>
          <w:szCs w:val="20"/>
        </w:rPr>
      </w:pPr>
      <w:r w:rsidRPr="0020419B">
        <w:rPr>
          <w:rFonts w:ascii="Arial" w:hAnsi="Arial" w:cs="Arial"/>
          <w:b/>
          <w:bCs/>
          <w:sz w:val="20"/>
          <w:szCs w:val="20"/>
        </w:rPr>
        <w:t>Investment Committee</w:t>
      </w:r>
    </w:p>
    <w:p w14:paraId="27443007" w14:textId="236EE824"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The Investment Committee is responsible for supervising the management of the University of Oxford’s investment assets, as delegated to it. Full details of the Investment Committee’s responsibilities and membership can be found in </w:t>
      </w:r>
      <w:hyperlink r:id="rId12" w:history="1">
        <w:r w:rsidR="00D62497" w:rsidRPr="00D62497">
          <w:rPr>
            <w:rStyle w:val="Hyperlink"/>
            <w:rFonts w:ascii="Arial" w:hAnsi="Arial" w:cs="Arial"/>
            <w:sz w:val="20"/>
            <w:szCs w:val="20"/>
          </w:rPr>
          <w:t>Part 21: Investment Committee | Governance and Planning</w:t>
        </w:r>
      </w:hyperlink>
    </w:p>
    <w:p w14:paraId="7DF353AE" w14:textId="23F82E7B" w:rsidR="005A4A0F" w:rsidRPr="00444C91" w:rsidRDefault="005A4A0F" w:rsidP="00444C91">
      <w:pPr>
        <w:pStyle w:val="BodyText"/>
        <w:rPr>
          <w:rFonts w:ascii="Arial" w:hAnsi="Arial" w:cs="Arial"/>
          <w:color w:val="4F748B" w:themeColor="hyperlink"/>
          <w:sz w:val="20"/>
          <w:szCs w:val="20"/>
          <w:u w:val="single"/>
        </w:rPr>
      </w:pPr>
      <w:r w:rsidRPr="0020419B">
        <w:rPr>
          <w:rFonts w:ascii="Arial" w:hAnsi="Arial" w:cs="Arial"/>
          <w:sz w:val="20"/>
          <w:szCs w:val="20"/>
        </w:rPr>
        <w:t xml:space="preserve">There are two sub-committees of the Investment Committee: the Valuation Committee and the </w:t>
      </w:r>
      <w:hyperlink r:id="rId13" w:history="1">
        <w:r w:rsidRPr="0020419B">
          <w:rPr>
            <w:rFonts w:ascii="Arial" w:hAnsi="Arial" w:cs="Arial"/>
            <w:sz w:val="20"/>
            <w:szCs w:val="20"/>
          </w:rPr>
          <w:t>Ethical Investment Representations Review Subcommittee</w:t>
        </w:r>
      </w:hyperlink>
      <w:r w:rsidRPr="00842BCC">
        <w:rPr>
          <w:rFonts w:ascii="Arial" w:hAnsi="Arial" w:cs="Arial"/>
          <w:sz w:val="20"/>
          <w:szCs w:val="20"/>
        </w:rPr>
        <w:t xml:space="preserve"> (EIRRS).</w:t>
      </w:r>
      <w:r w:rsidRPr="009746F4">
        <w:rPr>
          <w:sz w:val="20"/>
          <w:szCs w:val="20"/>
        </w:rPr>
        <w:t xml:space="preserve"> </w:t>
      </w:r>
      <w:r w:rsidRPr="00842BCC">
        <w:rPr>
          <w:rFonts w:ascii="Arial" w:hAnsi="Arial" w:cs="Arial"/>
          <w:sz w:val="20"/>
          <w:szCs w:val="20"/>
        </w:rPr>
        <w:t>EIRRS consider</w:t>
      </w:r>
      <w:r w:rsidR="00913918">
        <w:rPr>
          <w:rFonts w:ascii="Arial" w:hAnsi="Arial" w:cs="Arial"/>
          <w:sz w:val="20"/>
          <w:szCs w:val="20"/>
        </w:rPr>
        <w:t>s</w:t>
      </w:r>
      <w:r w:rsidRPr="00842BCC">
        <w:rPr>
          <w:rFonts w:ascii="Arial" w:hAnsi="Arial" w:cs="Arial"/>
          <w:sz w:val="20"/>
          <w:szCs w:val="20"/>
        </w:rPr>
        <w:t xml:space="preserve"> representations concerning ethical or socially responsible investment relating to the Investment Policy Statement</w:t>
      </w:r>
      <w:r w:rsidR="002F61B3">
        <w:rPr>
          <w:rFonts w:ascii="Arial" w:hAnsi="Arial" w:cs="Arial"/>
          <w:sz w:val="20"/>
          <w:szCs w:val="20"/>
        </w:rPr>
        <w:t xml:space="preserve">, and its </w:t>
      </w:r>
      <w:r w:rsidR="00A9226A">
        <w:rPr>
          <w:rFonts w:ascii="Arial" w:hAnsi="Arial" w:cs="Arial"/>
          <w:sz w:val="20"/>
          <w:szCs w:val="20"/>
        </w:rPr>
        <w:t>responsibilities and membership can be foun</w:t>
      </w:r>
      <w:r w:rsidR="004B686D">
        <w:rPr>
          <w:rFonts w:ascii="Arial" w:hAnsi="Arial" w:cs="Arial"/>
          <w:sz w:val="20"/>
          <w:szCs w:val="20"/>
        </w:rPr>
        <w:t xml:space="preserve">d on the </w:t>
      </w:r>
      <w:hyperlink r:id="rId14" w:history="1">
        <w:r w:rsidR="00A41197" w:rsidRPr="00A41197">
          <w:rPr>
            <w:rStyle w:val="Hyperlink"/>
            <w:rFonts w:ascii="Arial" w:hAnsi="Arial" w:cs="Arial"/>
            <w:sz w:val="20"/>
            <w:szCs w:val="20"/>
          </w:rPr>
          <w:t>Ethical Investment Representations Review Subcommittee</w:t>
        </w:r>
      </w:hyperlink>
      <w:r w:rsidR="00A41197">
        <w:rPr>
          <w:rFonts w:ascii="Arial" w:hAnsi="Arial" w:cs="Arial"/>
          <w:sz w:val="20"/>
          <w:szCs w:val="20"/>
        </w:rPr>
        <w:t xml:space="preserve"> page.</w:t>
      </w:r>
    </w:p>
    <w:p w14:paraId="7ADE43ED" w14:textId="51E2BB02" w:rsidR="005A4A0F" w:rsidRPr="0020419B" w:rsidRDefault="005A4A0F" w:rsidP="005A4A0F">
      <w:pPr>
        <w:pStyle w:val="BodyText"/>
        <w:rPr>
          <w:rFonts w:ascii="Arial" w:hAnsi="Arial" w:cs="Arial"/>
          <w:sz w:val="20"/>
          <w:szCs w:val="20"/>
        </w:rPr>
      </w:pPr>
      <w:r w:rsidRPr="0020419B">
        <w:rPr>
          <w:rFonts w:ascii="Arial" w:hAnsi="Arial" w:cs="Arial"/>
          <w:sz w:val="20"/>
          <w:szCs w:val="20"/>
        </w:rPr>
        <w:t>For avoidance of doubt, the Investment Committee is not a regulated entity. It sets policies and guidelines but does not make individual investment decisions</w:t>
      </w:r>
      <w:r w:rsidR="00197298">
        <w:rPr>
          <w:rFonts w:ascii="Arial" w:hAnsi="Arial" w:cs="Arial"/>
          <w:sz w:val="20"/>
          <w:szCs w:val="20"/>
        </w:rPr>
        <w:t xml:space="preserve">. </w:t>
      </w:r>
      <w:r w:rsidRPr="0020419B">
        <w:rPr>
          <w:rFonts w:ascii="Arial" w:hAnsi="Arial" w:cs="Arial"/>
          <w:sz w:val="20"/>
          <w:szCs w:val="20"/>
        </w:rPr>
        <w:t>Oxford University Endowment Management is the discretionary investment manager of the Oxford Endowment Fund and the University’s Capital Account.</w:t>
      </w:r>
    </w:p>
    <w:p w14:paraId="570C1C06" w14:textId="615FC531" w:rsidR="006D235C" w:rsidRDefault="006D235C" w:rsidP="00501BE2">
      <w:pPr>
        <w:pStyle w:val="BodyText"/>
        <w:numPr>
          <w:ilvl w:val="1"/>
          <w:numId w:val="8"/>
        </w:numPr>
        <w:spacing w:before="0" w:after="0"/>
        <w:rPr>
          <w:rFonts w:ascii="Arial" w:hAnsi="Arial" w:cs="Arial"/>
          <w:b/>
          <w:bCs/>
          <w:sz w:val="20"/>
          <w:szCs w:val="20"/>
        </w:rPr>
      </w:pPr>
      <w:r>
        <w:rPr>
          <w:rFonts w:ascii="Arial" w:hAnsi="Arial" w:cs="Arial"/>
          <w:b/>
          <w:bCs/>
          <w:sz w:val="20"/>
          <w:szCs w:val="20"/>
        </w:rPr>
        <w:t>EIRRS activity</w:t>
      </w:r>
    </w:p>
    <w:p w14:paraId="6141301F" w14:textId="77777777" w:rsidR="006D235C" w:rsidRDefault="006D235C" w:rsidP="006D235C">
      <w:pPr>
        <w:pStyle w:val="BodyText"/>
        <w:spacing w:before="0" w:after="0"/>
        <w:rPr>
          <w:rFonts w:ascii="Arial" w:hAnsi="Arial" w:cs="Arial"/>
          <w:b/>
          <w:bCs/>
          <w:sz w:val="20"/>
          <w:szCs w:val="20"/>
        </w:rPr>
      </w:pPr>
    </w:p>
    <w:p w14:paraId="1787AB11" w14:textId="6407D735" w:rsidR="006D235C" w:rsidRPr="00512E91" w:rsidRDefault="00512E91" w:rsidP="006D235C">
      <w:pPr>
        <w:pStyle w:val="BodyText"/>
        <w:spacing w:before="0" w:after="0"/>
        <w:rPr>
          <w:rFonts w:ascii="Arial" w:hAnsi="Arial" w:cs="Arial"/>
          <w:sz w:val="20"/>
          <w:szCs w:val="20"/>
        </w:rPr>
      </w:pPr>
      <w:r>
        <w:rPr>
          <w:rFonts w:ascii="Arial" w:hAnsi="Arial" w:cs="Arial"/>
          <w:sz w:val="20"/>
          <w:szCs w:val="20"/>
        </w:rPr>
        <w:t>I</w:t>
      </w:r>
      <w:r w:rsidRPr="00512E91">
        <w:rPr>
          <w:rFonts w:ascii="Arial" w:hAnsi="Arial" w:cs="Arial"/>
          <w:sz w:val="20"/>
          <w:szCs w:val="20"/>
        </w:rPr>
        <w:t>n October</w:t>
      </w:r>
      <w:r>
        <w:rPr>
          <w:rFonts w:ascii="Arial" w:hAnsi="Arial" w:cs="Arial"/>
          <w:sz w:val="20"/>
          <w:szCs w:val="20"/>
        </w:rPr>
        <w:t xml:space="preserve"> 2024</w:t>
      </w:r>
      <w:r w:rsidRPr="00512E91">
        <w:rPr>
          <w:rFonts w:ascii="Arial" w:hAnsi="Arial" w:cs="Arial"/>
          <w:sz w:val="20"/>
          <w:szCs w:val="20"/>
        </w:rPr>
        <w:t xml:space="preserve">, Council tasked the Ethical Investment Representations Review Sub-Committee </w:t>
      </w:r>
      <w:r>
        <w:rPr>
          <w:rFonts w:ascii="Arial" w:hAnsi="Arial" w:cs="Arial"/>
          <w:sz w:val="20"/>
          <w:szCs w:val="20"/>
        </w:rPr>
        <w:t>wi</w:t>
      </w:r>
      <w:r w:rsidRPr="00512E91">
        <w:rPr>
          <w:rFonts w:ascii="Arial" w:hAnsi="Arial" w:cs="Arial"/>
          <w:sz w:val="20"/>
          <w:szCs w:val="20"/>
        </w:rPr>
        <w:t>th reviewing the University’s restriction on holding direct investments in companies manufacturing weapons illegal under UK</w:t>
      </w:r>
      <w:r w:rsidR="00265259">
        <w:rPr>
          <w:rFonts w:ascii="Arial" w:hAnsi="Arial" w:cs="Arial"/>
          <w:sz w:val="20"/>
          <w:szCs w:val="20"/>
        </w:rPr>
        <w:t xml:space="preserve"> law</w:t>
      </w:r>
      <w:r w:rsidRPr="00512E91">
        <w:rPr>
          <w:rFonts w:ascii="Arial" w:hAnsi="Arial" w:cs="Arial"/>
          <w:sz w:val="20"/>
          <w:szCs w:val="20"/>
        </w:rPr>
        <w:t xml:space="preserve">. EIRRS has conducted an extensive review as summarised on a dedicated website: </w:t>
      </w:r>
      <w:hyperlink r:id="rId15" w:history="1">
        <w:r w:rsidRPr="00987021">
          <w:rPr>
            <w:rStyle w:val="Hyperlink"/>
            <w:rFonts w:ascii="Arial" w:hAnsi="Arial" w:cs="Arial"/>
            <w:sz w:val="20"/>
            <w:szCs w:val="20"/>
          </w:rPr>
          <w:t>Ethical investments review | Governance and Planning</w:t>
        </w:r>
      </w:hyperlink>
      <w:r w:rsidRPr="00512E91">
        <w:rPr>
          <w:rFonts w:ascii="Arial" w:hAnsi="Arial" w:cs="Arial"/>
          <w:sz w:val="20"/>
          <w:szCs w:val="20"/>
        </w:rPr>
        <w:t xml:space="preserve">. </w:t>
      </w:r>
      <w:r w:rsidR="00F515F4">
        <w:rPr>
          <w:rFonts w:ascii="Arial" w:hAnsi="Arial" w:cs="Arial"/>
          <w:sz w:val="20"/>
          <w:szCs w:val="20"/>
        </w:rPr>
        <w:t xml:space="preserve">At the time of writing, </w:t>
      </w:r>
      <w:r w:rsidRPr="00512E91">
        <w:rPr>
          <w:rFonts w:ascii="Arial" w:hAnsi="Arial" w:cs="Arial"/>
          <w:sz w:val="20"/>
          <w:szCs w:val="20"/>
        </w:rPr>
        <w:t>EIRRS ha</w:t>
      </w:r>
      <w:r w:rsidR="00F515F4">
        <w:rPr>
          <w:rFonts w:ascii="Arial" w:hAnsi="Arial" w:cs="Arial"/>
          <w:sz w:val="20"/>
          <w:szCs w:val="20"/>
        </w:rPr>
        <w:t>d</w:t>
      </w:r>
      <w:r w:rsidRPr="00512E91">
        <w:rPr>
          <w:rFonts w:ascii="Arial" w:hAnsi="Arial" w:cs="Arial"/>
          <w:sz w:val="20"/>
          <w:szCs w:val="20"/>
        </w:rPr>
        <w:t xml:space="preserve"> recently made its recommendations to Investment Committee. In line with EIRRS’s terms of reference, Investment Committee will now fully review these recommendations prior to advising Council on any suggested changes to the University Investment Policy Statement</w:t>
      </w:r>
      <w:r w:rsidR="00F515F4">
        <w:rPr>
          <w:rFonts w:ascii="Arial" w:hAnsi="Arial" w:cs="Arial"/>
          <w:sz w:val="20"/>
          <w:szCs w:val="20"/>
        </w:rPr>
        <w:t>.</w:t>
      </w:r>
      <w:r w:rsidR="00BF2786">
        <w:rPr>
          <w:rFonts w:ascii="Arial" w:hAnsi="Arial" w:cs="Arial"/>
          <w:sz w:val="20"/>
          <w:szCs w:val="20"/>
        </w:rPr>
        <w:t xml:space="preserve"> </w:t>
      </w:r>
      <w:r w:rsidRPr="00512E91">
        <w:rPr>
          <w:rFonts w:ascii="Arial" w:hAnsi="Arial" w:cs="Arial"/>
          <w:sz w:val="20"/>
          <w:szCs w:val="20"/>
        </w:rPr>
        <w:t xml:space="preserve">  </w:t>
      </w:r>
    </w:p>
    <w:p w14:paraId="6A07A743" w14:textId="77777777" w:rsidR="006D235C" w:rsidRPr="006D235C" w:rsidRDefault="006D235C" w:rsidP="006D235C">
      <w:pPr>
        <w:pStyle w:val="BodyText"/>
        <w:spacing w:before="0" w:after="0"/>
        <w:rPr>
          <w:rFonts w:ascii="Arial" w:hAnsi="Arial" w:cs="Arial"/>
          <w:b/>
          <w:bCs/>
          <w:sz w:val="20"/>
          <w:szCs w:val="20"/>
        </w:rPr>
      </w:pPr>
    </w:p>
    <w:p w14:paraId="3B7AF408" w14:textId="28977FBC" w:rsidR="005A4A0F" w:rsidRPr="0020419B" w:rsidRDefault="005A4A0F" w:rsidP="00501BE2">
      <w:pPr>
        <w:pStyle w:val="BodyText"/>
        <w:numPr>
          <w:ilvl w:val="1"/>
          <w:numId w:val="8"/>
        </w:numPr>
        <w:spacing w:before="0" w:after="0"/>
        <w:rPr>
          <w:rFonts w:ascii="Arial" w:hAnsi="Arial" w:cs="Arial"/>
          <w:b/>
          <w:bCs/>
          <w:sz w:val="20"/>
          <w:szCs w:val="20"/>
        </w:rPr>
      </w:pPr>
      <w:r w:rsidRPr="0020419B">
        <w:rPr>
          <w:rFonts w:ascii="Arial" w:hAnsi="Arial" w:cs="Arial"/>
          <w:b/>
          <w:bCs/>
          <w:sz w:val="20"/>
          <w:szCs w:val="20"/>
        </w:rPr>
        <w:t>Oxford University Endowment Management</w:t>
      </w:r>
    </w:p>
    <w:p w14:paraId="65B21265" w14:textId="57867575" w:rsidR="004E53FA" w:rsidRDefault="005A4A0F" w:rsidP="00B535F8">
      <w:pPr>
        <w:pStyle w:val="BodyText"/>
        <w:rPr>
          <w:rFonts w:ascii="Arial" w:hAnsi="Arial" w:cs="Arial"/>
          <w:sz w:val="20"/>
          <w:szCs w:val="20"/>
        </w:rPr>
      </w:pPr>
      <w:r w:rsidRPr="0020419B">
        <w:rPr>
          <w:rFonts w:ascii="Arial" w:hAnsi="Arial" w:cs="Arial"/>
          <w:sz w:val="20"/>
          <w:szCs w:val="20"/>
        </w:rPr>
        <w:t>OU Endowment Management (</w:t>
      </w:r>
      <w:proofErr w:type="spellStart"/>
      <w:r w:rsidRPr="0020419B">
        <w:rPr>
          <w:rFonts w:ascii="Arial" w:hAnsi="Arial" w:cs="Arial"/>
          <w:sz w:val="20"/>
          <w:szCs w:val="20"/>
        </w:rPr>
        <w:t>OUem</w:t>
      </w:r>
      <w:proofErr w:type="spellEnd"/>
      <w:r w:rsidRPr="0020419B">
        <w:rPr>
          <w:rFonts w:ascii="Arial" w:hAnsi="Arial" w:cs="Arial"/>
          <w:sz w:val="20"/>
          <w:szCs w:val="20"/>
        </w:rPr>
        <w:t xml:space="preserve">) is a commercial operating subsidiary of the University of Oxford. </w:t>
      </w:r>
      <w:proofErr w:type="spellStart"/>
      <w:r w:rsidRPr="0020419B">
        <w:rPr>
          <w:rFonts w:ascii="Arial" w:hAnsi="Arial" w:cs="Arial"/>
          <w:sz w:val="20"/>
          <w:szCs w:val="20"/>
        </w:rPr>
        <w:t>OUem</w:t>
      </w:r>
      <w:proofErr w:type="spellEnd"/>
      <w:r w:rsidRPr="0020419B">
        <w:rPr>
          <w:rFonts w:ascii="Arial" w:hAnsi="Arial" w:cs="Arial"/>
          <w:sz w:val="20"/>
          <w:szCs w:val="20"/>
        </w:rPr>
        <w:t xml:space="preserve"> is authorised and regulated by the Financial Conduct Authority and is an Alternative </w:t>
      </w:r>
      <w:r w:rsidRPr="0020419B">
        <w:rPr>
          <w:rFonts w:ascii="Arial" w:hAnsi="Arial" w:cs="Arial"/>
          <w:sz w:val="20"/>
          <w:szCs w:val="20"/>
        </w:rPr>
        <w:lastRenderedPageBreak/>
        <w:t xml:space="preserve">Investment Fund Manager under the Alternative Investment Fund Managers Directive (AIFMD). </w:t>
      </w:r>
      <w:proofErr w:type="spellStart"/>
      <w:r w:rsidRPr="0020419B">
        <w:rPr>
          <w:rFonts w:ascii="Arial" w:hAnsi="Arial" w:cs="Arial"/>
          <w:sz w:val="20"/>
          <w:szCs w:val="20"/>
        </w:rPr>
        <w:t>OUem</w:t>
      </w:r>
      <w:proofErr w:type="spellEnd"/>
      <w:r w:rsidRPr="0020419B">
        <w:rPr>
          <w:rFonts w:ascii="Arial" w:hAnsi="Arial" w:cs="Arial"/>
          <w:sz w:val="20"/>
          <w:szCs w:val="20"/>
        </w:rPr>
        <w:t xml:space="preserve"> has a Board of Directors and two sub committees for Audit and Risk Management and Remuneration. </w:t>
      </w:r>
    </w:p>
    <w:p w14:paraId="1E1A8961" w14:textId="77777777" w:rsidR="009A3612" w:rsidRDefault="00EB14D7"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University’s Investments </w:t>
      </w:r>
    </w:p>
    <w:p w14:paraId="2EA386DE" w14:textId="6EBC1969" w:rsidR="009A3612" w:rsidRDefault="009A3612" w:rsidP="009A3612">
      <w:pPr>
        <w:pStyle w:val="BodyText"/>
        <w:rPr>
          <w:rFonts w:ascii="Arial" w:hAnsi="Arial" w:cs="Arial"/>
          <w:sz w:val="20"/>
          <w:szCs w:val="20"/>
        </w:rPr>
      </w:pPr>
      <w:r w:rsidRPr="0020419B">
        <w:rPr>
          <w:rFonts w:ascii="Arial" w:hAnsi="Arial" w:cs="Arial"/>
          <w:sz w:val="20"/>
          <w:szCs w:val="20"/>
        </w:rPr>
        <w:t>The University does not have one pool of investment assets; instead, it chooses to manage specific pools of capital according to their time horizon, risk tolerance and liquidity requirements. In doing so it separates perpetuity capital from that which has a requirement to be drawn down more regularly. The University invests its perpetuity capital in the Oxford Endowment Fund and maintains a separate account for its expendable capital</w:t>
      </w:r>
      <w:r w:rsidR="00CA474A">
        <w:rPr>
          <w:rFonts w:ascii="Arial" w:hAnsi="Arial" w:cs="Arial"/>
          <w:sz w:val="20"/>
          <w:szCs w:val="20"/>
        </w:rPr>
        <w:t>, the Capital Account.</w:t>
      </w:r>
      <w:r w:rsidRPr="0020419B">
        <w:rPr>
          <w:rFonts w:ascii="Arial" w:hAnsi="Arial" w:cs="Arial"/>
          <w:sz w:val="20"/>
          <w:szCs w:val="20"/>
        </w:rPr>
        <w:t xml:space="preserve"> </w:t>
      </w:r>
    </w:p>
    <w:p w14:paraId="069E19C9" w14:textId="2938BA74" w:rsidR="006E441B" w:rsidRDefault="002F0420"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ESG and </w:t>
      </w:r>
      <w:r w:rsidR="002D2070">
        <w:rPr>
          <w:rFonts w:ascii="Arial" w:hAnsi="Arial" w:cs="Arial"/>
          <w:b/>
          <w:sz w:val="20"/>
          <w:szCs w:val="20"/>
        </w:rPr>
        <w:t>S</w:t>
      </w:r>
      <w:r w:rsidR="000277A4" w:rsidRPr="002F0420">
        <w:rPr>
          <w:rFonts w:ascii="Arial" w:hAnsi="Arial" w:cs="Arial"/>
          <w:b/>
          <w:sz w:val="20"/>
          <w:szCs w:val="20"/>
        </w:rPr>
        <w:t>ustainability</w:t>
      </w:r>
    </w:p>
    <w:p w14:paraId="703E7A6A" w14:textId="679ACABE" w:rsidR="000277A4" w:rsidRPr="0020419B" w:rsidRDefault="000277A4" w:rsidP="000277A4">
      <w:pPr>
        <w:spacing w:line="240" w:lineRule="auto"/>
        <w:rPr>
          <w:rFonts w:ascii="Arial" w:hAnsi="Arial" w:cs="Arial"/>
          <w:sz w:val="20"/>
          <w:szCs w:val="20"/>
        </w:rPr>
      </w:pPr>
      <w:r w:rsidRPr="0020419B">
        <w:rPr>
          <w:rFonts w:ascii="Arial" w:hAnsi="Arial" w:cs="Arial"/>
          <w:sz w:val="20"/>
          <w:szCs w:val="20"/>
        </w:rPr>
        <w:t xml:space="preserve">The Investment Committee has one member appointed to have recent and relevant expertise in </w:t>
      </w:r>
      <w:r w:rsidR="00FC24CB">
        <w:rPr>
          <w:rFonts w:ascii="Arial" w:hAnsi="Arial" w:cs="Arial"/>
          <w:sz w:val="20"/>
          <w:szCs w:val="20"/>
        </w:rPr>
        <w:t xml:space="preserve">environmentally </w:t>
      </w:r>
      <w:r w:rsidRPr="0020419B">
        <w:rPr>
          <w:rFonts w:ascii="Arial" w:hAnsi="Arial" w:cs="Arial"/>
          <w:sz w:val="20"/>
          <w:szCs w:val="20"/>
        </w:rPr>
        <w:t xml:space="preserve">sustainable investment. Reporting to the Chair of the Investment Committee, their role is strategic oversight of sustainability, including reviewing compliance with specific ethical restrictions and progress on net zero targets. </w:t>
      </w:r>
    </w:p>
    <w:p w14:paraId="0191E710" w14:textId="56C0C9DD" w:rsidR="000277A4" w:rsidRPr="0020419B" w:rsidRDefault="000277A4"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 Engagement on Net Zero and Biodiversity Net Gain</w:t>
      </w:r>
    </w:p>
    <w:p w14:paraId="555A0629" w14:textId="02952A2E" w:rsidR="000277A4" w:rsidRPr="0020419B" w:rsidRDefault="000277A4" w:rsidP="00B5780F">
      <w:pPr>
        <w:spacing w:before="120" w:line="240" w:lineRule="auto"/>
        <w:rPr>
          <w:rFonts w:ascii="Arial" w:hAnsi="Arial" w:cs="Arial"/>
          <w:sz w:val="20"/>
          <w:szCs w:val="20"/>
        </w:rPr>
      </w:pPr>
      <w:r w:rsidRPr="00E06AA8">
        <w:rPr>
          <w:rFonts w:ascii="Arial" w:hAnsi="Arial" w:cs="Arial"/>
          <w:sz w:val="20"/>
          <w:szCs w:val="20"/>
        </w:rPr>
        <w:t xml:space="preserve">The University is committed to ensuring its investments are part of an integrated approach to achieving </w:t>
      </w:r>
      <w:r w:rsidR="004D7567" w:rsidRPr="00E06AA8">
        <w:rPr>
          <w:rFonts w:ascii="Arial" w:hAnsi="Arial" w:cs="Arial"/>
          <w:sz w:val="20"/>
          <w:szCs w:val="20"/>
        </w:rPr>
        <w:t>GHG emissions</w:t>
      </w:r>
      <w:r w:rsidRPr="00E06AA8">
        <w:rPr>
          <w:rFonts w:ascii="Arial" w:hAnsi="Arial" w:cs="Arial"/>
          <w:sz w:val="20"/>
          <w:szCs w:val="20"/>
        </w:rPr>
        <w:t xml:space="preserve"> net zero and biodiversity net gain by 2035, in line with broader sustainability targets across the University. To help achieve net zero, the University will use the Oxford Martin Principles on Climate-Conscious Investment as an engagement framework, with the aim of having net zero business plans across its entire portfolio of investments.</w:t>
      </w:r>
      <w:r w:rsidR="00E100F8" w:rsidRPr="00E06AA8">
        <w:rPr>
          <w:rFonts w:ascii="Arial" w:hAnsi="Arial" w:cs="Arial"/>
          <w:sz w:val="20"/>
          <w:szCs w:val="20"/>
        </w:rPr>
        <w:t xml:space="preserve"> </w:t>
      </w:r>
      <w:r w:rsidRPr="00E06AA8">
        <w:rPr>
          <w:rFonts w:ascii="Arial" w:hAnsi="Arial" w:cs="Arial"/>
          <w:sz w:val="20"/>
          <w:szCs w:val="20"/>
        </w:rPr>
        <w:t>The University recognises the importance of engagement to identify, avoid and reduce, where applicable, investments’ impact on biodiversity over the long term</w:t>
      </w:r>
      <w:r w:rsidR="005F2447">
        <w:rPr>
          <w:rFonts w:ascii="Arial" w:hAnsi="Arial" w:cs="Arial"/>
          <w:sz w:val="20"/>
          <w:szCs w:val="20"/>
        </w:rPr>
        <w:t>.</w:t>
      </w:r>
    </w:p>
    <w:p w14:paraId="79AB3952" w14:textId="77777777" w:rsidR="000277A4" w:rsidRPr="0020419B" w:rsidRDefault="000277A4"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 Voting</w:t>
      </w:r>
    </w:p>
    <w:p w14:paraId="38C2EFB5" w14:textId="3ED2F133" w:rsidR="000277A4" w:rsidRPr="0020419B" w:rsidRDefault="000277A4" w:rsidP="000277A4">
      <w:pPr>
        <w:pStyle w:val="BodyText"/>
        <w:rPr>
          <w:rFonts w:ascii="Arial" w:hAnsi="Arial" w:cs="Arial"/>
          <w:sz w:val="20"/>
          <w:szCs w:val="20"/>
        </w:rPr>
      </w:pPr>
      <w:r w:rsidRPr="0020419B">
        <w:rPr>
          <w:rFonts w:ascii="Arial" w:hAnsi="Arial" w:cs="Arial"/>
          <w:sz w:val="20"/>
          <w:szCs w:val="20"/>
        </w:rPr>
        <w:t xml:space="preserve">Rather than invest in individual companies, the University own units in the Oxford Endowment Fund or, for the Capital Account, it owns units in pooled vehicles or may have segregated accounts. </w:t>
      </w:r>
    </w:p>
    <w:p w14:paraId="7DCFA81B" w14:textId="77777777" w:rsidR="000B2235" w:rsidRPr="0020419B" w:rsidRDefault="000B2235"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Ethical Investment Restrictions </w:t>
      </w:r>
    </w:p>
    <w:p w14:paraId="3298C67B" w14:textId="4327AB83" w:rsidR="000277A4" w:rsidRPr="0020419B" w:rsidRDefault="000277A4" w:rsidP="000277A4">
      <w:pPr>
        <w:pStyle w:val="BodyText"/>
        <w:rPr>
          <w:rFonts w:ascii="Arial" w:hAnsi="Arial" w:cs="Arial"/>
          <w:sz w:val="20"/>
          <w:szCs w:val="20"/>
        </w:rPr>
      </w:pPr>
      <w:r w:rsidRPr="0020419B">
        <w:rPr>
          <w:rFonts w:ascii="Arial" w:hAnsi="Arial" w:cs="Arial"/>
          <w:sz w:val="20"/>
          <w:szCs w:val="20"/>
        </w:rPr>
        <w:t>The University has chosen at various instances to place restrictions on sectors in which it will not invest on ethical grounds:</w:t>
      </w:r>
    </w:p>
    <w:p w14:paraId="2A032717" w14:textId="5A83050C"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 in companies which manufacture arms that are illegal under the </w:t>
      </w:r>
      <w:r w:rsidR="00E13D31">
        <w:rPr>
          <w:rFonts w:ascii="Arial" w:hAnsi="Arial" w:cs="Arial"/>
          <w:sz w:val="20"/>
          <w:szCs w:val="20"/>
        </w:rPr>
        <w:t xml:space="preserve">Cluster </w:t>
      </w:r>
      <w:r w:rsidRPr="0020419B">
        <w:rPr>
          <w:rFonts w:ascii="Arial" w:hAnsi="Arial" w:cs="Arial"/>
          <w:sz w:val="20"/>
          <w:szCs w:val="20"/>
        </w:rPr>
        <w:t xml:space="preserve">Munitions (Prohibitions) Act 2010 or the Landmines Act 1998.  </w:t>
      </w:r>
    </w:p>
    <w:p w14:paraId="55FF5EFE" w14:textId="77777777"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investments in tobacco companies (as defined by UK Cancer Research). </w:t>
      </w:r>
    </w:p>
    <w:p w14:paraId="40EC149C" w14:textId="199B57AD"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 in any fossil fuel exploration and extraction companies, including: coal, oil and gas exploration and extraction; in addition to a ban on thermal coal and oil sands. </w:t>
      </w:r>
    </w:p>
    <w:p w14:paraId="3BDF7273" w14:textId="7943A1E9" w:rsidR="000277A4" w:rsidRPr="0074284B" w:rsidRDefault="000277A4" w:rsidP="00501BE2">
      <w:pPr>
        <w:pStyle w:val="BodyText"/>
        <w:numPr>
          <w:ilvl w:val="0"/>
          <w:numId w:val="9"/>
        </w:numPr>
        <w:spacing w:before="0" w:after="0"/>
        <w:rPr>
          <w:rFonts w:ascii="Arial" w:hAnsi="Arial" w:cs="Arial"/>
          <w:sz w:val="20"/>
          <w:szCs w:val="20"/>
        </w:rPr>
      </w:pPr>
      <w:r w:rsidRPr="0074284B">
        <w:rPr>
          <w:rFonts w:ascii="Arial" w:hAnsi="Arial" w:cs="Arial"/>
          <w:sz w:val="20"/>
          <w:szCs w:val="20"/>
        </w:rPr>
        <w:t xml:space="preserve">Investment in funds </w:t>
      </w:r>
      <w:r w:rsidR="0074284B" w:rsidRPr="0074284B">
        <w:rPr>
          <w:rFonts w:ascii="Arial" w:hAnsi="Arial" w:cs="Arial"/>
          <w:sz w:val="20"/>
          <w:szCs w:val="20"/>
        </w:rPr>
        <w:t>which invest primarily in the above listed categories of companies</w:t>
      </w:r>
      <w:r w:rsidRPr="0074284B">
        <w:rPr>
          <w:rFonts w:ascii="Arial" w:hAnsi="Arial" w:cs="Arial"/>
          <w:sz w:val="20"/>
          <w:szCs w:val="20"/>
        </w:rPr>
        <w:t>.</w:t>
      </w:r>
    </w:p>
    <w:p w14:paraId="6B7BF886" w14:textId="77777777" w:rsidR="00184CC5" w:rsidRPr="0020419B" w:rsidRDefault="00184CC5" w:rsidP="00D162FC">
      <w:pPr>
        <w:pStyle w:val="BodyText"/>
        <w:spacing w:before="0" w:after="0"/>
        <w:rPr>
          <w:rFonts w:ascii="Arial" w:hAnsi="Arial" w:cs="Arial"/>
          <w:sz w:val="20"/>
          <w:szCs w:val="20"/>
        </w:rPr>
      </w:pPr>
    </w:p>
    <w:p w14:paraId="712A0054" w14:textId="485AAEB6" w:rsidR="000277A4" w:rsidRPr="007A0251" w:rsidRDefault="000277A4" w:rsidP="00501BE2">
      <w:pPr>
        <w:pStyle w:val="ListParagraph"/>
        <w:numPr>
          <w:ilvl w:val="0"/>
          <w:numId w:val="8"/>
        </w:numPr>
        <w:spacing w:after="240"/>
        <w:jc w:val="both"/>
        <w:rPr>
          <w:rFonts w:ascii="Arial" w:hAnsi="Arial" w:cs="Arial"/>
          <w:b/>
          <w:sz w:val="20"/>
          <w:szCs w:val="20"/>
        </w:rPr>
      </w:pPr>
      <w:r w:rsidRPr="007A0251">
        <w:rPr>
          <w:rFonts w:ascii="Arial" w:hAnsi="Arial" w:cs="Arial"/>
          <w:b/>
          <w:sz w:val="20"/>
          <w:szCs w:val="20"/>
        </w:rPr>
        <w:t xml:space="preserve"> </w:t>
      </w:r>
      <w:r w:rsidR="007A0251">
        <w:rPr>
          <w:rFonts w:ascii="Arial" w:hAnsi="Arial" w:cs="Arial"/>
          <w:b/>
          <w:sz w:val="20"/>
          <w:szCs w:val="20"/>
        </w:rPr>
        <w:t xml:space="preserve">Annual </w:t>
      </w:r>
      <w:r w:rsidRPr="007A0251">
        <w:rPr>
          <w:rFonts w:ascii="Arial" w:hAnsi="Arial" w:cs="Arial"/>
          <w:b/>
          <w:sz w:val="20"/>
          <w:szCs w:val="20"/>
        </w:rPr>
        <w:t xml:space="preserve">Reporting </w:t>
      </w:r>
      <w:r w:rsidR="007A0251">
        <w:rPr>
          <w:rFonts w:ascii="Arial" w:hAnsi="Arial" w:cs="Arial"/>
          <w:b/>
          <w:sz w:val="20"/>
          <w:szCs w:val="20"/>
        </w:rPr>
        <w:t xml:space="preserve">Requirements </w:t>
      </w:r>
    </w:p>
    <w:p w14:paraId="36C30B49" w14:textId="48CD2DED" w:rsidR="0009332D" w:rsidRDefault="000277A4" w:rsidP="000277A4">
      <w:pPr>
        <w:rPr>
          <w:rFonts w:ascii="Arial" w:hAnsi="Arial" w:cs="Arial"/>
          <w:sz w:val="20"/>
          <w:szCs w:val="20"/>
        </w:rPr>
      </w:pPr>
      <w:r w:rsidRPr="0020419B">
        <w:rPr>
          <w:rFonts w:ascii="Arial" w:hAnsi="Arial" w:cs="Arial"/>
          <w:sz w:val="20"/>
          <w:szCs w:val="20"/>
        </w:rPr>
        <w:t xml:space="preserve">In 2020, University Congregation passed resolutions regarding fossil divestment and net zero. These resolutions include aspects of policy, implementation and reporting. These are found </w:t>
      </w:r>
      <w:hyperlink r:id="rId16" w:history="1">
        <w:r w:rsidRPr="0020419B">
          <w:rPr>
            <w:rStyle w:val="Hyperlink"/>
            <w:rFonts w:ascii="Arial" w:hAnsi="Arial" w:cs="Arial"/>
            <w:sz w:val="20"/>
            <w:szCs w:val="20"/>
          </w:rPr>
          <w:t>here</w:t>
        </w:r>
      </w:hyperlink>
      <w:r w:rsidRPr="00842BCC">
        <w:rPr>
          <w:rFonts w:ascii="Arial" w:hAnsi="Arial" w:cs="Arial"/>
          <w:sz w:val="20"/>
          <w:szCs w:val="20"/>
        </w:rPr>
        <w:t xml:space="preserve"> and require the </w:t>
      </w:r>
      <w:r w:rsidRPr="0020419B">
        <w:rPr>
          <w:rFonts w:ascii="Arial" w:hAnsi="Arial" w:cs="Arial"/>
          <w:sz w:val="20"/>
          <w:szCs w:val="20"/>
        </w:rPr>
        <w:t xml:space="preserve">Investment Committee to report to Council annually in a public document on the following: </w:t>
      </w:r>
    </w:p>
    <w:p w14:paraId="714A0C7D" w14:textId="4F9266F0" w:rsidR="00381E0A" w:rsidRDefault="00AA343B" w:rsidP="00501BE2">
      <w:pPr>
        <w:pStyle w:val="ListParagraph"/>
        <w:numPr>
          <w:ilvl w:val="0"/>
          <w:numId w:val="11"/>
        </w:numPr>
        <w:rPr>
          <w:rFonts w:ascii="Arial" w:hAnsi="Arial" w:cs="Arial"/>
          <w:sz w:val="20"/>
          <w:szCs w:val="20"/>
        </w:rPr>
      </w:pPr>
      <w:r>
        <w:rPr>
          <w:rFonts w:ascii="Arial" w:hAnsi="Arial" w:cs="Arial"/>
          <w:sz w:val="20"/>
          <w:szCs w:val="20"/>
        </w:rPr>
        <w:t>v</w:t>
      </w:r>
      <w:r w:rsidR="00381E0A">
        <w:rPr>
          <w:rFonts w:ascii="Arial" w:hAnsi="Arial" w:cs="Arial"/>
          <w:sz w:val="20"/>
          <w:szCs w:val="20"/>
        </w:rPr>
        <w:t xml:space="preserve">oting </w:t>
      </w:r>
    </w:p>
    <w:p w14:paraId="18365755" w14:textId="02544B0E" w:rsidR="004600DC"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compliance with specific ethical restrictions and divestment</w:t>
      </w:r>
    </w:p>
    <w:p w14:paraId="45A50F3B" w14:textId="2888EBC5" w:rsidR="004600DC" w:rsidRPr="0009332D"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 xml:space="preserve">engagement and progress towards net zero targets, with reference to </w:t>
      </w:r>
      <w:proofErr w:type="gramStart"/>
      <w:r w:rsidRPr="0009332D">
        <w:rPr>
          <w:rFonts w:ascii="Arial" w:hAnsi="Arial" w:cs="Arial"/>
          <w:sz w:val="20"/>
          <w:szCs w:val="20"/>
        </w:rPr>
        <w:t>University</w:t>
      </w:r>
      <w:proofErr w:type="gramEnd"/>
      <w:r w:rsidRPr="0009332D">
        <w:rPr>
          <w:rFonts w:ascii="Arial" w:hAnsi="Arial" w:cs="Arial"/>
          <w:sz w:val="20"/>
          <w:szCs w:val="20"/>
        </w:rPr>
        <w:t xml:space="preserve"> research when appropriate</w:t>
      </w:r>
    </w:p>
    <w:p w14:paraId="68968452" w14:textId="7F89853F" w:rsidR="004600DC" w:rsidRPr="0009332D"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and an annual review of any remaining fossil fuel investments for evidence of Paris- and IPCC-aligned hard net zero plans</w:t>
      </w:r>
    </w:p>
    <w:p w14:paraId="18D120A7" w14:textId="67C196AA" w:rsidR="009B7337" w:rsidRDefault="00AA343B" w:rsidP="00501BE2">
      <w:pPr>
        <w:pStyle w:val="ListParagraph"/>
        <w:numPr>
          <w:ilvl w:val="0"/>
          <w:numId w:val="11"/>
        </w:numPr>
        <w:rPr>
          <w:rFonts w:ascii="Arial" w:hAnsi="Arial" w:cs="Arial"/>
          <w:sz w:val="20"/>
          <w:szCs w:val="20"/>
        </w:rPr>
      </w:pPr>
      <w:r>
        <w:rPr>
          <w:rFonts w:ascii="Arial" w:hAnsi="Arial" w:cs="Arial"/>
          <w:sz w:val="20"/>
          <w:szCs w:val="20"/>
        </w:rPr>
        <w:t>t</w:t>
      </w:r>
      <w:r w:rsidR="000277A4" w:rsidRPr="009B7337">
        <w:rPr>
          <w:rFonts w:ascii="Arial" w:hAnsi="Arial" w:cs="Arial"/>
          <w:sz w:val="20"/>
          <w:szCs w:val="20"/>
        </w:rPr>
        <w:t xml:space="preserve">he Investment Committee will also provide an update on </w:t>
      </w:r>
      <w:proofErr w:type="spellStart"/>
      <w:r w:rsidR="000277A4" w:rsidRPr="009B7337">
        <w:rPr>
          <w:rFonts w:ascii="Arial" w:hAnsi="Arial" w:cs="Arial"/>
          <w:sz w:val="20"/>
          <w:szCs w:val="20"/>
        </w:rPr>
        <w:t>OUem’s</w:t>
      </w:r>
      <w:proofErr w:type="spellEnd"/>
      <w:r w:rsidR="000277A4" w:rsidRPr="009B7337">
        <w:rPr>
          <w:rFonts w:ascii="Arial" w:hAnsi="Arial" w:cs="Arial"/>
          <w:sz w:val="20"/>
          <w:szCs w:val="20"/>
        </w:rPr>
        <w:t xml:space="preserve"> progress on communicating a restriction to fund managers which may hold fossil fuel companies</w:t>
      </w:r>
    </w:p>
    <w:p w14:paraId="06E95CB9" w14:textId="77777777" w:rsidR="00AA5A4B" w:rsidRDefault="000277A4" w:rsidP="00501BE2">
      <w:pPr>
        <w:pStyle w:val="ListParagraph"/>
        <w:numPr>
          <w:ilvl w:val="0"/>
          <w:numId w:val="11"/>
        </w:numPr>
        <w:rPr>
          <w:rFonts w:ascii="Arial" w:hAnsi="Arial" w:cs="Arial"/>
          <w:sz w:val="20"/>
          <w:szCs w:val="20"/>
        </w:rPr>
      </w:pPr>
      <w:proofErr w:type="spellStart"/>
      <w:r w:rsidRPr="009B7337">
        <w:rPr>
          <w:rFonts w:ascii="Arial" w:hAnsi="Arial" w:cs="Arial"/>
          <w:sz w:val="20"/>
          <w:szCs w:val="20"/>
        </w:rPr>
        <w:t>OUem</w:t>
      </w:r>
      <w:proofErr w:type="spellEnd"/>
      <w:r w:rsidRPr="009B7337">
        <w:rPr>
          <w:rFonts w:ascii="Arial" w:hAnsi="Arial" w:cs="Arial"/>
          <w:sz w:val="20"/>
          <w:szCs w:val="20"/>
        </w:rPr>
        <w:t xml:space="preserve"> report</w:t>
      </w:r>
      <w:r w:rsidR="00307F3F">
        <w:rPr>
          <w:rFonts w:ascii="Arial" w:hAnsi="Arial" w:cs="Arial"/>
          <w:sz w:val="20"/>
          <w:szCs w:val="20"/>
        </w:rPr>
        <w:t>s</w:t>
      </w:r>
      <w:r w:rsidRPr="009B7337">
        <w:rPr>
          <w:rFonts w:ascii="Arial" w:hAnsi="Arial" w:cs="Arial"/>
          <w:sz w:val="20"/>
          <w:szCs w:val="20"/>
        </w:rPr>
        <w:t xml:space="preserve"> on their actions in the event a fund manager continues to own fossil fuel companies which do not have a net zero plan. </w:t>
      </w:r>
    </w:p>
    <w:p w14:paraId="4A4F9B87" w14:textId="77777777" w:rsidR="00AA5A4B" w:rsidRDefault="00AA5A4B" w:rsidP="00AA5A4B">
      <w:pPr>
        <w:pStyle w:val="ListParagraph"/>
        <w:rPr>
          <w:rFonts w:ascii="Arial" w:hAnsi="Arial" w:cs="Arial"/>
          <w:sz w:val="20"/>
          <w:szCs w:val="20"/>
        </w:rPr>
      </w:pPr>
    </w:p>
    <w:p w14:paraId="7AE9EDEC" w14:textId="77777777" w:rsidR="00144FDF" w:rsidRDefault="0060361D" w:rsidP="00501BE2">
      <w:pPr>
        <w:pStyle w:val="ListParagraph"/>
        <w:numPr>
          <w:ilvl w:val="0"/>
          <w:numId w:val="8"/>
        </w:numPr>
        <w:spacing w:after="240"/>
        <w:jc w:val="both"/>
        <w:rPr>
          <w:rFonts w:ascii="Arial" w:hAnsi="Arial" w:cs="Arial"/>
          <w:b/>
          <w:sz w:val="20"/>
          <w:szCs w:val="20"/>
        </w:rPr>
      </w:pPr>
      <w:r w:rsidRPr="009F0EDD">
        <w:rPr>
          <w:rFonts w:ascii="Arial" w:hAnsi="Arial" w:cs="Arial"/>
          <w:b/>
          <w:sz w:val="20"/>
          <w:szCs w:val="20"/>
        </w:rPr>
        <w:t xml:space="preserve">Annual Report on </w:t>
      </w:r>
      <w:r w:rsidR="00475260" w:rsidRPr="009F0EDD">
        <w:rPr>
          <w:rFonts w:ascii="Arial" w:hAnsi="Arial" w:cs="Arial"/>
          <w:b/>
          <w:sz w:val="20"/>
          <w:szCs w:val="20"/>
        </w:rPr>
        <w:t xml:space="preserve">University’s </w:t>
      </w:r>
      <w:r w:rsidR="0024270D">
        <w:rPr>
          <w:rFonts w:ascii="Arial" w:hAnsi="Arial" w:cs="Arial"/>
          <w:b/>
          <w:sz w:val="20"/>
          <w:szCs w:val="20"/>
        </w:rPr>
        <w:t xml:space="preserve">Investments </w:t>
      </w:r>
    </w:p>
    <w:p w14:paraId="2B6A8760" w14:textId="77777777" w:rsidR="003C6812" w:rsidRDefault="003C6812" w:rsidP="00501BE2">
      <w:pPr>
        <w:pStyle w:val="ListParagraph"/>
        <w:numPr>
          <w:ilvl w:val="1"/>
          <w:numId w:val="8"/>
        </w:numPr>
        <w:spacing w:after="240"/>
        <w:jc w:val="both"/>
        <w:rPr>
          <w:rFonts w:ascii="Arial" w:hAnsi="Arial" w:cs="Arial"/>
          <w:b/>
          <w:sz w:val="20"/>
          <w:szCs w:val="20"/>
        </w:rPr>
      </w:pPr>
      <w:r>
        <w:rPr>
          <w:rFonts w:ascii="Arial" w:hAnsi="Arial" w:cs="Arial"/>
          <w:b/>
          <w:sz w:val="20"/>
          <w:szCs w:val="20"/>
        </w:rPr>
        <w:t xml:space="preserve">Capital Account </w:t>
      </w:r>
    </w:p>
    <w:p w14:paraId="5DF6D22B" w14:textId="69B04C43" w:rsidR="009A007F" w:rsidRPr="00D1065B" w:rsidRDefault="009A007F" w:rsidP="00501BE2">
      <w:pPr>
        <w:pStyle w:val="ListParagraph"/>
        <w:numPr>
          <w:ilvl w:val="0"/>
          <w:numId w:val="12"/>
        </w:numPr>
        <w:spacing w:before="120" w:after="120"/>
        <w:rPr>
          <w:rFonts w:ascii="Arial" w:hAnsi="Arial" w:cs="Arial"/>
          <w:sz w:val="20"/>
          <w:szCs w:val="20"/>
        </w:rPr>
      </w:pPr>
      <w:r w:rsidRPr="00D1065B">
        <w:rPr>
          <w:rFonts w:ascii="Arial" w:hAnsi="Arial" w:cs="Arial"/>
          <w:sz w:val="20"/>
          <w:szCs w:val="20"/>
        </w:rPr>
        <w:t xml:space="preserve">Voting </w:t>
      </w:r>
    </w:p>
    <w:p w14:paraId="0E997020" w14:textId="09550790" w:rsidR="00AF2256" w:rsidRDefault="00E51701" w:rsidP="00894B2F">
      <w:pPr>
        <w:spacing w:before="120" w:after="120" w:line="240" w:lineRule="auto"/>
        <w:rPr>
          <w:rFonts w:ascii="Arial" w:hAnsi="Arial" w:cs="Arial"/>
          <w:sz w:val="20"/>
          <w:szCs w:val="20"/>
        </w:rPr>
      </w:pPr>
      <w:r>
        <w:rPr>
          <w:rFonts w:ascii="Arial" w:hAnsi="Arial" w:cs="Arial"/>
          <w:sz w:val="20"/>
          <w:szCs w:val="20"/>
        </w:rPr>
        <w:t>For the Capital Account, t</w:t>
      </w:r>
      <w:r w:rsidR="00C42088" w:rsidRPr="003A5C4A">
        <w:rPr>
          <w:rFonts w:ascii="Arial" w:hAnsi="Arial" w:cs="Arial"/>
          <w:sz w:val="20"/>
          <w:szCs w:val="20"/>
        </w:rPr>
        <w:t xml:space="preserve">he </w:t>
      </w:r>
      <w:r w:rsidR="001E13DA">
        <w:rPr>
          <w:rFonts w:ascii="Arial" w:hAnsi="Arial" w:cs="Arial"/>
          <w:sz w:val="20"/>
          <w:szCs w:val="20"/>
        </w:rPr>
        <w:t>University owns</w:t>
      </w:r>
      <w:r w:rsidR="001843AD">
        <w:rPr>
          <w:rFonts w:ascii="Arial" w:hAnsi="Arial" w:cs="Arial"/>
          <w:sz w:val="20"/>
          <w:szCs w:val="20"/>
        </w:rPr>
        <w:t xml:space="preserve"> </w:t>
      </w:r>
      <w:r w:rsidR="0063761C">
        <w:rPr>
          <w:rFonts w:ascii="Arial" w:hAnsi="Arial" w:cs="Arial"/>
          <w:sz w:val="20"/>
          <w:szCs w:val="20"/>
        </w:rPr>
        <w:t xml:space="preserve">equities </w:t>
      </w:r>
      <w:r w:rsidR="001F34B8">
        <w:rPr>
          <w:rFonts w:ascii="Arial" w:hAnsi="Arial" w:cs="Arial"/>
          <w:sz w:val="20"/>
          <w:szCs w:val="20"/>
        </w:rPr>
        <w:t xml:space="preserve">via </w:t>
      </w:r>
      <w:r w:rsidR="001843AD">
        <w:rPr>
          <w:rFonts w:ascii="Arial" w:hAnsi="Arial" w:cs="Arial"/>
          <w:sz w:val="20"/>
          <w:szCs w:val="20"/>
        </w:rPr>
        <w:t>units</w:t>
      </w:r>
      <w:r w:rsidR="00AF2CA0" w:rsidRPr="003A5C4A">
        <w:rPr>
          <w:rFonts w:ascii="Arial" w:hAnsi="Arial" w:cs="Arial"/>
          <w:sz w:val="20"/>
          <w:szCs w:val="20"/>
        </w:rPr>
        <w:t xml:space="preserve"> </w:t>
      </w:r>
      <w:r w:rsidR="005C4623">
        <w:rPr>
          <w:rFonts w:ascii="Arial" w:hAnsi="Arial" w:cs="Arial"/>
          <w:sz w:val="20"/>
          <w:szCs w:val="20"/>
        </w:rPr>
        <w:t xml:space="preserve">in </w:t>
      </w:r>
      <w:r w:rsidR="00894B2F">
        <w:rPr>
          <w:rFonts w:ascii="Arial" w:hAnsi="Arial" w:cs="Arial"/>
          <w:sz w:val="20"/>
          <w:szCs w:val="20"/>
        </w:rPr>
        <w:t>a global index fund</w:t>
      </w:r>
      <w:r w:rsidR="00410D83">
        <w:rPr>
          <w:rFonts w:ascii="Arial" w:hAnsi="Arial" w:cs="Arial"/>
          <w:sz w:val="20"/>
          <w:szCs w:val="20"/>
        </w:rPr>
        <w:t xml:space="preserve">, it </w:t>
      </w:r>
      <w:r w:rsidR="00BD7035">
        <w:rPr>
          <w:rFonts w:ascii="Arial" w:hAnsi="Arial" w:cs="Arial"/>
          <w:sz w:val="20"/>
          <w:szCs w:val="20"/>
        </w:rPr>
        <w:t xml:space="preserve">does not own </w:t>
      </w:r>
      <w:r w:rsidR="00101C58">
        <w:rPr>
          <w:rFonts w:ascii="Arial" w:hAnsi="Arial" w:cs="Arial"/>
          <w:sz w:val="20"/>
          <w:szCs w:val="20"/>
        </w:rPr>
        <w:t xml:space="preserve">shares in </w:t>
      </w:r>
      <w:r w:rsidR="009305D4">
        <w:rPr>
          <w:rFonts w:ascii="Arial" w:hAnsi="Arial" w:cs="Arial"/>
          <w:sz w:val="20"/>
          <w:szCs w:val="20"/>
        </w:rPr>
        <w:t xml:space="preserve">publicly listed </w:t>
      </w:r>
      <w:r w:rsidR="00101C58">
        <w:rPr>
          <w:rFonts w:ascii="Arial" w:hAnsi="Arial" w:cs="Arial"/>
          <w:sz w:val="20"/>
          <w:szCs w:val="20"/>
        </w:rPr>
        <w:t xml:space="preserve">companies </w:t>
      </w:r>
      <w:r w:rsidR="00EA7FD6">
        <w:rPr>
          <w:rFonts w:ascii="Arial" w:hAnsi="Arial" w:cs="Arial"/>
          <w:sz w:val="20"/>
          <w:szCs w:val="20"/>
        </w:rPr>
        <w:t>and therefor</w:t>
      </w:r>
      <w:r w:rsidR="00D47975">
        <w:rPr>
          <w:rFonts w:ascii="Arial" w:hAnsi="Arial" w:cs="Arial"/>
          <w:sz w:val="20"/>
          <w:szCs w:val="20"/>
        </w:rPr>
        <w:t>e</w:t>
      </w:r>
      <w:r w:rsidR="00EA7FD6">
        <w:rPr>
          <w:rFonts w:ascii="Arial" w:hAnsi="Arial" w:cs="Arial"/>
          <w:sz w:val="20"/>
          <w:szCs w:val="20"/>
        </w:rPr>
        <w:t xml:space="preserve"> does not </w:t>
      </w:r>
      <w:r w:rsidR="00BE16FC">
        <w:rPr>
          <w:rFonts w:ascii="Arial" w:hAnsi="Arial" w:cs="Arial"/>
          <w:sz w:val="20"/>
          <w:szCs w:val="20"/>
        </w:rPr>
        <w:t>have the ability to vote</w:t>
      </w:r>
      <w:r w:rsidR="00844074">
        <w:rPr>
          <w:rFonts w:ascii="Arial" w:hAnsi="Arial" w:cs="Arial"/>
          <w:sz w:val="20"/>
          <w:szCs w:val="20"/>
        </w:rPr>
        <w:t xml:space="preserve"> in </w:t>
      </w:r>
      <w:r w:rsidR="00E127D4">
        <w:rPr>
          <w:rFonts w:ascii="Arial" w:hAnsi="Arial" w:cs="Arial"/>
          <w:sz w:val="20"/>
          <w:szCs w:val="20"/>
        </w:rPr>
        <w:t xml:space="preserve">Annual </w:t>
      </w:r>
      <w:r w:rsidR="002A7AD8">
        <w:rPr>
          <w:rFonts w:ascii="Arial" w:hAnsi="Arial" w:cs="Arial"/>
          <w:sz w:val="20"/>
          <w:szCs w:val="20"/>
        </w:rPr>
        <w:t>General</w:t>
      </w:r>
      <w:r w:rsidR="00332445">
        <w:rPr>
          <w:rFonts w:ascii="Arial" w:hAnsi="Arial" w:cs="Arial"/>
          <w:sz w:val="20"/>
          <w:szCs w:val="20"/>
        </w:rPr>
        <w:t xml:space="preserve"> Meetings</w:t>
      </w:r>
      <w:r>
        <w:rPr>
          <w:rFonts w:ascii="Arial" w:hAnsi="Arial" w:cs="Arial"/>
          <w:sz w:val="20"/>
          <w:szCs w:val="20"/>
        </w:rPr>
        <w:t xml:space="preserve">. </w:t>
      </w:r>
      <w:r w:rsidR="00AD7945">
        <w:rPr>
          <w:rFonts w:ascii="Arial" w:hAnsi="Arial" w:cs="Arial"/>
          <w:sz w:val="20"/>
          <w:szCs w:val="20"/>
        </w:rPr>
        <w:t xml:space="preserve">The University </w:t>
      </w:r>
      <w:r w:rsidR="00164DBC">
        <w:rPr>
          <w:rFonts w:ascii="Arial" w:hAnsi="Arial" w:cs="Arial"/>
          <w:sz w:val="20"/>
          <w:szCs w:val="20"/>
        </w:rPr>
        <w:t xml:space="preserve">does </w:t>
      </w:r>
      <w:r w:rsidR="00F60A73">
        <w:rPr>
          <w:rFonts w:ascii="Arial" w:hAnsi="Arial" w:cs="Arial"/>
          <w:sz w:val="20"/>
          <w:szCs w:val="20"/>
        </w:rPr>
        <w:t xml:space="preserve">own </w:t>
      </w:r>
      <w:r w:rsidR="004C253C">
        <w:rPr>
          <w:rFonts w:ascii="Arial" w:hAnsi="Arial" w:cs="Arial"/>
          <w:sz w:val="20"/>
          <w:szCs w:val="20"/>
        </w:rPr>
        <w:t>bonds</w:t>
      </w:r>
      <w:r w:rsidR="003A3525">
        <w:rPr>
          <w:rFonts w:ascii="Arial" w:hAnsi="Arial" w:cs="Arial"/>
          <w:sz w:val="20"/>
          <w:szCs w:val="20"/>
        </w:rPr>
        <w:t>,</w:t>
      </w:r>
      <w:r w:rsidR="00D03A59">
        <w:rPr>
          <w:rFonts w:ascii="Arial" w:hAnsi="Arial" w:cs="Arial"/>
          <w:sz w:val="20"/>
          <w:szCs w:val="20"/>
        </w:rPr>
        <w:t xml:space="preserve"> </w:t>
      </w:r>
      <w:r w:rsidR="004B0621">
        <w:rPr>
          <w:rFonts w:ascii="Arial" w:hAnsi="Arial" w:cs="Arial"/>
          <w:sz w:val="20"/>
          <w:szCs w:val="20"/>
        </w:rPr>
        <w:t xml:space="preserve">but these </w:t>
      </w:r>
      <w:r w:rsidR="001F34AF">
        <w:rPr>
          <w:rFonts w:ascii="Arial" w:hAnsi="Arial" w:cs="Arial"/>
          <w:sz w:val="20"/>
          <w:szCs w:val="20"/>
        </w:rPr>
        <w:t>do not have voting rights</w:t>
      </w:r>
      <w:r w:rsidR="00DE3F78">
        <w:rPr>
          <w:rFonts w:ascii="Arial" w:hAnsi="Arial" w:cs="Arial"/>
          <w:sz w:val="20"/>
          <w:szCs w:val="20"/>
        </w:rPr>
        <w:t>.</w:t>
      </w:r>
      <w:r w:rsidR="004F3BA1">
        <w:rPr>
          <w:rFonts w:ascii="Arial" w:hAnsi="Arial" w:cs="Arial"/>
          <w:sz w:val="20"/>
          <w:szCs w:val="20"/>
        </w:rPr>
        <w:t xml:space="preserve"> </w:t>
      </w:r>
    </w:p>
    <w:p w14:paraId="60C42672" w14:textId="77777777" w:rsidR="00120D5F" w:rsidRDefault="00120D5F" w:rsidP="00894B2F">
      <w:pPr>
        <w:spacing w:before="120" w:after="120" w:line="240" w:lineRule="auto"/>
        <w:rPr>
          <w:rFonts w:ascii="Arial" w:hAnsi="Arial" w:cs="Arial"/>
          <w:sz w:val="20"/>
          <w:szCs w:val="20"/>
        </w:rPr>
      </w:pPr>
    </w:p>
    <w:p w14:paraId="235D5FD4" w14:textId="73C0988B" w:rsidR="00B30DD5" w:rsidRDefault="00FA6F01" w:rsidP="00501BE2">
      <w:pPr>
        <w:pStyle w:val="ListParagraph"/>
        <w:numPr>
          <w:ilvl w:val="0"/>
          <w:numId w:val="12"/>
        </w:numPr>
        <w:spacing w:before="120" w:after="120"/>
        <w:rPr>
          <w:rFonts w:ascii="Arial" w:hAnsi="Arial" w:cs="Arial"/>
          <w:sz w:val="20"/>
          <w:szCs w:val="20"/>
        </w:rPr>
      </w:pPr>
      <w:r>
        <w:rPr>
          <w:rFonts w:ascii="Arial" w:hAnsi="Arial" w:cs="Arial"/>
          <w:sz w:val="20"/>
          <w:szCs w:val="20"/>
        </w:rPr>
        <w:t xml:space="preserve"> </w:t>
      </w:r>
      <w:r w:rsidR="009A007F">
        <w:rPr>
          <w:rFonts w:ascii="Arial" w:hAnsi="Arial" w:cs="Arial"/>
          <w:sz w:val="20"/>
          <w:szCs w:val="20"/>
        </w:rPr>
        <w:t>C</w:t>
      </w:r>
      <w:r w:rsidR="00B30DD5" w:rsidRPr="0009332D">
        <w:rPr>
          <w:rFonts w:ascii="Arial" w:hAnsi="Arial" w:cs="Arial"/>
          <w:sz w:val="20"/>
          <w:szCs w:val="20"/>
        </w:rPr>
        <w:t xml:space="preserve">ompliance with specific ethical restrictions </w:t>
      </w:r>
    </w:p>
    <w:p w14:paraId="1CB2AEE8" w14:textId="00B52157" w:rsidR="004B283B" w:rsidRPr="00966836" w:rsidRDefault="004B283B" w:rsidP="0041539B">
      <w:pPr>
        <w:spacing w:before="120" w:line="240" w:lineRule="auto"/>
        <w:contextualSpacing/>
        <w:jc w:val="both"/>
        <w:rPr>
          <w:rFonts w:ascii="Arial" w:hAnsi="Arial" w:cs="Arial"/>
          <w:color w:val="000000" w:themeColor="text1"/>
          <w:sz w:val="20"/>
          <w:szCs w:val="20"/>
        </w:rPr>
      </w:pPr>
      <w:r>
        <w:rPr>
          <w:rFonts w:ascii="Arial" w:hAnsi="Arial" w:cs="Arial"/>
          <w:color w:val="000000" w:themeColor="text1"/>
          <w:sz w:val="20"/>
          <w:szCs w:val="20"/>
        </w:rPr>
        <w:t>As at 31 December 202</w:t>
      </w:r>
      <w:r w:rsidR="00893AEA">
        <w:rPr>
          <w:rFonts w:ascii="Arial" w:hAnsi="Arial" w:cs="Arial"/>
          <w:color w:val="000000" w:themeColor="text1"/>
          <w:sz w:val="20"/>
          <w:szCs w:val="20"/>
        </w:rPr>
        <w:t>4</w:t>
      </w:r>
      <w:r>
        <w:rPr>
          <w:rFonts w:ascii="Arial" w:hAnsi="Arial" w:cs="Arial"/>
          <w:color w:val="000000" w:themeColor="text1"/>
          <w:sz w:val="20"/>
          <w:szCs w:val="20"/>
        </w:rPr>
        <w:t xml:space="preserve">, there were no direct or indirect holdings in the restricted investment sectors. </w:t>
      </w:r>
    </w:p>
    <w:p w14:paraId="7A605105" w14:textId="21E3FE7A" w:rsidR="00AB30AF" w:rsidRPr="00842A0F" w:rsidRDefault="00D91D7A" w:rsidP="00700FF7">
      <w:pPr>
        <w:pStyle w:val="BodyText"/>
        <w:rPr>
          <w:rFonts w:ascii="Arial" w:hAnsi="Arial" w:cs="Arial"/>
          <w:sz w:val="20"/>
          <w:szCs w:val="20"/>
        </w:rPr>
      </w:pPr>
      <w:r>
        <w:rPr>
          <w:rFonts w:ascii="Arial" w:hAnsi="Arial" w:cs="Arial"/>
          <w:sz w:val="20"/>
          <w:szCs w:val="20"/>
        </w:rPr>
        <w:t>T</w:t>
      </w:r>
      <w:r w:rsidR="00AB30AF" w:rsidRPr="00842A0F">
        <w:rPr>
          <w:rFonts w:ascii="Arial" w:hAnsi="Arial" w:cs="Arial"/>
          <w:sz w:val="20"/>
          <w:szCs w:val="20"/>
        </w:rPr>
        <w:t>he Capital Account ha</w:t>
      </w:r>
      <w:r>
        <w:rPr>
          <w:rFonts w:ascii="Arial" w:hAnsi="Arial" w:cs="Arial"/>
          <w:sz w:val="20"/>
          <w:szCs w:val="20"/>
        </w:rPr>
        <w:t>s</w:t>
      </w:r>
      <w:r w:rsidR="004678C8">
        <w:rPr>
          <w:rFonts w:ascii="Arial" w:hAnsi="Arial" w:cs="Arial"/>
          <w:sz w:val="20"/>
          <w:szCs w:val="20"/>
        </w:rPr>
        <w:t xml:space="preserve"> </w:t>
      </w:r>
      <w:r w:rsidR="00AB30AF" w:rsidRPr="00842A0F">
        <w:rPr>
          <w:rFonts w:ascii="Arial" w:hAnsi="Arial" w:cs="Arial"/>
          <w:sz w:val="20"/>
          <w:szCs w:val="20"/>
        </w:rPr>
        <w:t>1</w:t>
      </w:r>
      <w:r w:rsidR="00163B65">
        <w:rPr>
          <w:rFonts w:ascii="Arial" w:hAnsi="Arial" w:cs="Arial"/>
          <w:sz w:val="20"/>
          <w:szCs w:val="20"/>
        </w:rPr>
        <w:t>5</w:t>
      </w:r>
      <w:r w:rsidR="00AB30AF" w:rsidRPr="00842A0F">
        <w:rPr>
          <w:rFonts w:ascii="Arial" w:hAnsi="Arial" w:cs="Arial"/>
          <w:sz w:val="20"/>
          <w:szCs w:val="20"/>
        </w:rPr>
        <w:t>% exposure to an equity index tracking fund, which tracks the MSCI World index with a screen for Fossil Fuels, Tobacco and Controversial Weapons. The remaining 8</w:t>
      </w:r>
      <w:r w:rsidR="00163B65">
        <w:rPr>
          <w:rFonts w:ascii="Arial" w:hAnsi="Arial" w:cs="Arial"/>
          <w:sz w:val="20"/>
          <w:szCs w:val="20"/>
        </w:rPr>
        <w:t>5</w:t>
      </w:r>
      <w:r w:rsidR="00AB30AF" w:rsidRPr="00842A0F">
        <w:rPr>
          <w:rFonts w:ascii="Arial" w:hAnsi="Arial" w:cs="Arial"/>
          <w:sz w:val="20"/>
          <w:szCs w:val="20"/>
        </w:rPr>
        <w:t xml:space="preserve">% of the Capital Account is invested in short term bonds. </w:t>
      </w:r>
      <w:r w:rsidR="00353272" w:rsidRPr="00353272">
        <w:rPr>
          <w:rFonts w:ascii="Arial" w:hAnsi="Arial" w:cs="Arial"/>
          <w:sz w:val="20"/>
          <w:szCs w:val="20"/>
        </w:rPr>
        <w:t>As this is a segregated mandate, the University owns the bonds.</w:t>
      </w:r>
      <w:r w:rsidR="00353272">
        <w:rPr>
          <w:rFonts w:ascii="Arial" w:hAnsi="Arial" w:cs="Arial"/>
          <w:sz w:val="20"/>
          <w:szCs w:val="20"/>
        </w:rPr>
        <w:t xml:space="preserve"> </w:t>
      </w:r>
      <w:r w:rsidR="00346ECB">
        <w:rPr>
          <w:rFonts w:ascii="Arial" w:hAnsi="Arial" w:cs="Arial"/>
          <w:sz w:val="20"/>
          <w:szCs w:val="20"/>
        </w:rPr>
        <w:t>T</w:t>
      </w:r>
      <w:r w:rsidR="00AB30AF" w:rsidRPr="00842A0F">
        <w:rPr>
          <w:rFonts w:ascii="Arial" w:hAnsi="Arial" w:cs="Arial"/>
          <w:sz w:val="20"/>
          <w:szCs w:val="20"/>
        </w:rPr>
        <w:t xml:space="preserve">he manager of the </w:t>
      </w:r>
      <w:r w:rsidR="00575C98">
        <w:rPr>
          <w:rFonts w:ascii="Arial" w:hAnsi="Arial" w:cs="Arial"/>
          <w:sz w:val="20"/>
          <w:szCs w:val="20"/>
        </w:rPr>
        <w:t>account</w:t>
      </w:r>
      <w:r w:rsidR="00AB30AF" w:rsidRPr="00842A0F">
        <w:rPr>
          <w:rFonts w:ascii="Arial" w:hAnsi="Arial" w:cs="Arial"/>
          <w:sz w:val="20"/>
          <w:szCs w:val="20"/>
        </w:rPr>
        <w:t>, Payden &amp; Rygel, ha</w:t>
      </w:r>
      <w:r w:rsidR="0035728F">
        <w:rPr>
          <w:rFonts w:ascii="Arial" w:hAnsi="Arial" w:cs="Arial"/>
          <w:sz w:val="20"/>
          <w:szCs w:val="20"/>
        </w:rPr>
        <w:t>s</w:t>
      </w:r>
      <w:r w:rsidR="00AB30AF" w:rsidRPr="00842A0F">
        <w:rPr>
          <w:rFonts w:ascii="Arial" w:hAnsi="Arial" w:cs="Arial"/>
          <w:sz w:val="20"/>
          <w:szCs w:val="20"/>
        </w:rPr>
        <w:t xml:space="preserve"> an Investment Management Agreement which prohibits </w:t>
      </w:r>
      <w:r w:rsidR="00A16C44">
        <w:rPr>
          <w:rFonts w:ascii="Arial" w:hAnsi="Arial" w:cs="Arial"/>
          <w:sz w:val="20"/>
          <w:szCs w:val="20"/>
        </w:rPr>
        <w:t>the</w:t>
      </w:r>
      <w:r w:rsidR="00C6289A">
        <w:rPr>
          <w:rFonts w:ascii="Arial" w:hAnsi="Arial" w:cs="Arial"/>
          <w:sz w:val="20"/>
          <w:szCs w:val="20"/>
        </w:rPr>
        <w:t xml:space="preserve">m buying </w:t>
      </w:r>
      <w:r w:rsidR="00AB30AF" w:rsidRPr="00842A0F">
        <w:rPr>
          <w:rFonts w:ascii="Arial" w:hAnsi="Arial" w:cs="Arial"/>
          <w:sz w:val="20"/>
          <w:szCs w:val="20"/>
        </w:rPr>
        <w:t>bonds issued by companies in any of the restricted areas</w:t>
      </w:r>
      <w:r w:rsidR="002602E8">
        <w:rPr>
          <w:rFonts w:ascii="Arial" w:hAnsi="Arial" w:cs="Arial"/>
          <w:sz w:val="20"/>
          <w:szCs w:val="20"/>
        </w:rPr>
        <w:t xml:space="preserve"> including fossil fuels, </w:t>
      </w:r>
      <w:r w:rsidR="00AC4433">
        <w:rPr>
          <w:rFonts w:ascii="Arial" w:hAnsi="Arial" w:cs="Arial"/>
          <w:sz w:val="20"/>
          <w:szCs w:val="20"/>
        </w:rPr>
        <w:t xml:space="preserve">tobacco and </w:t>
      </w:r>
      <w:r w:rsidR="00CD29A3" w:rsidRPr="0020419B">
        <w:rPr>
          <w:rFonts w:ascii="Arial" w:hAnsi="Arial" w:cs="Arial"/>
          <w:sz w:val="20"/>
          <w:szCs w:val="20"/>
        </w:rPr>
        <w:t xml:space="preserve">companies which manufacture arms that are illegal under the </w:t>
      </w:r>
      <w:r w:rsidR="00CD29A3">
        <w:rPr>
          <w:rFonts w:ascii="Arial" w:hAnsi="Arial" w:cs="Arial"/>
          <w:sz w:val="20"/>
          <w:szCs w:val="20"/>
        </w:rPr>
        <w:t xml:space="preserve">Cluster </w:t>
      </w:r>
      <w:r w:rsidR="00CD29A3" w:rsidRPr="0020419B">
        <w:rPr>
          <w:rFonts w:ascii="Arial" w:hAnsi="Arial" w:cs="Arial"/>
          <w:sz w:val="20"/>
          <w:szCs w:val="20"/>
        </w:rPr>
        <w:t>Munitions (Prohibitions) Act 2010 or the Landmines Act 1998</w:t>
      </w:r>
      <w:r w:rsidR="007A220C">
        <w:rPr>
          <w:rFonts w:ascii="Arial" w:hAnsi="Arial" w:cs="Arial"/>
          <w:sz w:val="20"/>
          <w:szCs w:val="20"/>
        </w:rPr>
        <w:t>.</w:t>
      </w:r>
      <w:r w:rsidR="00AB30AF" w:rsidRPr="00842A0F">
        <w:rPr>
          <w:rFonts w:ascii="Arial" w:hAnsi="Arial" w:cs="Arial"/>
          <w:sz w:val="20"/>
          <w:szCs w:val="20"/>
        </w:rPr>
        <w:t xml:space="preserve"> </w:t>
      </w:r>
      <w:r w:rsidR="003F4CA9" w:rsidRPr="00027DD8">
        <w:rPr>
          <w:rFonts w:ascii="Arial" w:hAnsi="Arial" w:cs="Arial"/>
          <w:sz w:val="20"/>
          <w:szCs w:val="20"/>
        </w:rPr>
        <w:t xml:space="preserve">The list of prohibited investments in this area is derived from information provided by an independent ethical investment research organisation Sustainalytics. They provide </w:t>
      </w:r>
      <w:r w:rsidR="003F4CA9">
        <w:rPr>
          <w:rFonts w:ascii="Arial" w:hAnsi="Arial" w:cs="Arial"/>
          <w:sz w:val="20"/>
          <w:szCs w:val="20"/>
        </w:rPr>
        <w:t>information</w:t>
      </w:r>
      <w:r w:rsidR="003F4CA9" w:rsidRPr="00027DD8">
        <w:rPr>
          <w:rFonts w:ascii="Arial" w:hAnsi="Arial" w:cs="Arial"/>
          <w:sz w:val="20"/>
          <w:szCs w:val="20"/>
        </w:rPr>
        <w:t xml:space="preserve"> of companies globally, both public and private which are involved in the production of </w:t>
      </w:r>
      <w:r w:rsidR="003F4CA9">
        <w:rPr>
          <w:rFonts w:ascii="Arial" w:hAnsi="Arial" w:cs="Arial"/>
          <w:sz w:val="20"/>
          <w:szCs w:val="20"/>
        </w:rPr>
        <w:t>weapons illegal under UK law</w:t>
      </w:r>
      <w:r w:rsidR="003F4CA9" w:rsidRPr="00027DD8">
        <w:rPr>
          <w:rFonts w:ascii="Arial" w:hAnsi="Arial" w:cs="Arial"/>
          <w:sz w:val="20"/>
          <w:szCs w:val="20"/>
        </w:rPr>
        <w:t xml:space="preserve">. </w:t>
      </w:r>
      <w:r w:rsidR="00700FF7">
        <w:rPr>
          <w:rFonts w:ascii="Arial" w:hAnsi="Arial" w:cs="Arial"/>
          <w:sz w:val="20"/>
          <w:szCs w:val="20"/>
        </w:rPr>
        <w:t xml:space="preserve">The manager of the account is </w:t>
      </w:r>
      <w:r w:rsidR="00AB30AF" w:rsidRPr="00842A0F">
        <w:rPr>
          <w:rFonts w:ascii="Arial" w:hAnsi="Arial" w:cs="Arial"/>
          <w:sz w:val="20"/>
          <w:szCs w:val="20"/>
        </w:rPr>
        <w:t>required to confirm, in writing</w:t>
      </w:r>
      <w:r w:rsidR="000A7E6C">
        <w:rPr>
          <w:rFonts w:ascii="Arial" w:hAnsi="Arial" w:cs="Arial"/>
          <w:sz w:val="20"/>
          <w:szCs w:val="20"/>
        </w:rPr>
        <w:t xml:space="preserve"> on a quarterly basis </w:t>
      </w:r>
      <w:r w:rsidR="00AB30AF" w:rsidRPr="00842A0F">
        <w:rPr>
          <w:rFonts w:ascii="Arial" w:hAnsi="Arial" w:cs="Arial"/>
          <w:sz w:val="20"/>
          <w:szCs w:val="20"/>
        </w:rPr>
        <w:t xml:space="preserve">to </w:t>
      </w:r>
      <w:proofErr w:type="spellStart"/>
      <w:r w:rsidR="00AB30AF" w:rsidRPr="00842A0F">
        <w:rPr>
          <w:rFonts w:ascii="Arial" w:hAnsi="Arial" w:cs="Arial"/>
          <w:sz w:val="20"/>
          <w:szCs w:val="20"/>
        </w:rPr>
        <w:t>OUem</w:t>
      </w:r>
      <w:proofErr w:type="spellEnd"/>
      <w:r w:rsidR="00AB30AF" w:rsidRPr="00842A0F">
        <w:rPr>
          <w:rFonts w:ascii="Arial" w:hAnsi="Arial" w:cs="Arial"/>
          <w:sz w:val="20"/>
          <w:szCs w:val="20"/>
        </w:rPr>
        <w:t xml:space="preserve"> that they are compliant with their legal agreement. </w:t>
      </w:r>
      <w:proofErr w:type="spellStart"/>
      <w:r w:rsidR="00AB30AF" w:rsidRPr="00842A0F">
        <w:rPr>
          <w:rFonts w:ascii="Arial" w:hAnsi="Arial" w:cs="Arial"/>
          <w:sz w:val="20"/>
          <w:szCs w:val="20"/>
        </w:rPr>
        <w:t>OUem</w:t>
      </w:r>
      <w:proofErr w:type="spellEnd"/>
      <w:r w:rsidR="00AB30AF" w:rsidRPr="00842A0F">
        <w:rPr>
          <w:rFonts w:ascii="Arial" w:hAnsi="Arial" w:cs="Arial"/>
          <w:sz w:val="20"/>
          <w:szCs w:val="20"/>
        </w:rPr>
        <w:t xml:space="preserve"> </w:t>
      </w:r>
      <w:r w:rsidR="00C92CCC">
        <w:rPr>
          <w:rFonts w:ascii="Arial" w:hAnsi="Arial" w:cs="Arial"/>
          <w:sz w:val="20"/>
          <w:szCs w:val="20"/>
        </w:rPr>
        <w:t>ha</w:t>
      </w:r>
      <w:r w:rsidR="005F7682">
        <w:rPr>
          <w:rFonts w:ascii="Arial" w:hAnsi="Arial" w:cs="Arial"/>
          <w:sz w:val="20"/>
          <w:szCs w:val="20"/>
        </w:rPr>
        <w:t>s</w:t>
      </w:r>
      <w:r w:rsidR="00AB30AF" w:rsidRPr="00842A0F">
        <w:rPr>
          <w:rFonts w:ascii="Arial" w:hAnsi="Arial" w:cs="Arial"/>
          <w:sz w:val="20"/>
          <w:szCs w:val="20"/>
        </w:rPr>
        <w:t xml:space="preserve"> a discretionary Investment Management Agreement with the University for the Capital Account which sets out the restrictions and they are required to confirm to the University’s Investment Committee they are complian</w:t>
      </w:r>
      <w:r w:rsidR="00602C65">
        <w:rPr>
          <w:rFonts w:ascii="Arial" w:hAnsi="Arial" w:cs="Arial"/>
          <w:sz w:val="20"/>
          <w:szCs w:val="20"/>
        </w:rPr>
        <w:t>t</w:t>
      </w:r>
      <w:r w:rsidR="00AB30AF" w:rsidRPr="00842A0F">
        <w:rPr>
          <w:rFonts w:ascii="Arial" w:hAnsi="Arial" w:cs="Arial"/>
          <w:sz w:val="20"/>
          <w:szCs w:val="20"/>
        </w:rPr>
        <w:t xml:space="preserve"> with this legal agreement. The Investment Committee reports to Council. </w:t>
      </w:r>
    </w:p>
    <w:p w14:paraId="1EC752C4" w14:textId="77777777" w:rsidR="007A20C3" w:rsidRDefault="00AB30AF" w:rsidP="00AB30AF">
      <w:pPr>
        <w:spacing w:before="120" w:after="120" w:line="240" w:lineRule="auto"/>
        <w:rPr>
          <w:rFonts w:ascii="Arial" w:hAnsi="Arial" w:cs="Arial"/>
          <w:sz w:val="20"/>
          <w:szCs w:val="20"/>
        </w:rPr>
      </w:pPr>
      <w:r w:rsidRPr="00842A0F">
        <w:rPr>
          <w:rFonts w:ascii="Arial" w:hAnsi="Arial" w:cs="Arial"/>
          <w:sz w:val="20"/>
          <w:szCs w:val="20"/>
        </w:rPr>
        <w:t xml:space="preserve">The MSCI World index fund was designed, in conjunction with Blackrock, for investors like the University who have </w:t>
      </w:r>
      <w:r w:rsidR="007E2498">
        <w:rPr>
          <w:rFonts w:ascii="Arial" w:hAnsi="Arial" w:cs="Arial"/>
          <w:sz w:val="20"/>
          <w:szCs w:val="20"/>
        </w:rPr>
        <w:t xml:space="preserve">chosen to </w:t>
      </w:r>
      <w:r w:rsidRPr="00842A0F">
        <w:rPr>
          <w:rFonts w:ascii="Arial" w:hAnsi="Arial" w:cs="Arial"/>
          <w:sz w:val="20"/>
          <w:szCs w:val="20"/>
        </w:rPr>
        <w:t>restrict</w:t>
      </w:r>
      <w:r w:rsidR="007E2498">
        <w:rPr>
          <w:rFonts w:ascii="Arial" w:hAnsi="Arial" w:cs="Arial"/>
          <w:sz w:val="20"/>
          <w:szCs w:val="20"/>
        </w:rPr>
        <w:t xml:space="preserve"> their </w:t>
      </w:r>
      <w:r w:rsidRPr="00842A0F">
        <w:rPr>
          <w:rFonts w:ascii="Arial" w:hAnsi="Arial" w:cs="Arial"/>
          <w:sz w:val="20"/>
          <w:szCs w:val="20"/>
        </w:rPr>
        <w:t>investment universe. The fund is a UK Collective Investment Scheme and is open to a wide range of investors. Blackrock are the fund managers. This fund invests in over 1,300 companies across sectors, the weightings in this fund are determined by MSCI, and are based on the market capital of each company. Blackrock then adjust the weightings according to the restrictions of the Fund. The constituents of this adjusted index are publicly available information and rebalanced regularly.</w:t>
      </w:r>
      <w:r w:rsidRPr="00842A0F">
        <w:t xml:space="preserve"> </w:t>
      </w:r>
      <w:r w:rsidRPr="00842A0F">
        <w:rPr>
          <w:rFonts w:ascii="Arial" w:hAnsi="Arial" w:cs="Arial"/>
          <w:sz w:val="20"/>
          <w:szCs w:val="20"/>
        </w:rPr>
        <w:t xml:space="preserve">The University’s economic exposure to any single company within this equity tracker is de minimis. </w:t>
      </w:r>
    </w:p>
    <w:p w14:paraId="5C111471" w14:textId="1C171637" w:rsidR="00AB30AF" w:rsidRDefault="00474631" w:rsidP="00AB30AF">
      <w:pPr>
        <w:spacing w:before="120" w:after="120" w:line="240" w:lineRule="auto"/>
        <w:rPr>
          <w:rFonts w:ascii="Arial" w:hAnsi="Arial" w:cs="Arial"/>
          <w:sz w:val="20"/>
          <w:szCs w:val="20"/>
        </w:rPr>
      </w:pPr>
      <w:r>
        <w:rPr>
          <w:rFonts w:ascii="Arial" w:hAnsi="Arial" w:cs="Arial"/>
          <w:sz w:val="20"/>
          <w:szCs w:val="20"/>
        </w:rPr>
        <w:t xml:space="preserve">The Blackrock fund was chosen as </w:t>
      </w:r>
      <w:r w:rsidR="00AD60D4">
        <w:rPr>
          <w:rFonts w:ascii="Arial" w:hAnsi="Arial" w:cs="Arial"/>
          <w:sz w:val="20"/>
          <w:szCs w:val="20"/>
        </w:rPr>
        <w:t xml:space="preserve">the managers </w:t>
      </w:r>
      <w:r>
        <w:rPr>
          <w:rFonts w:ascii="Arial" w:hAnsi="Arial" w:cs="Arial"/>
          <w:sz w:val="20"/>
          <w:szCs w:val="20"/>
        </w:rPr>
        <w:t xml:space="preserve">screens capture the University’s </w:t>
      </w:r>
      <w:r w:rsidR="00AB30AF" w:rsidRPr="00842A0F">
        <w:rPr>
          <w:rFonts w:ascii="Arial" w:hAnsi="Arial" w:cs="Arial"/>
          <w:sz w:val="20"/>
          <w:szCs w:val="20"/>
        </w:rPr>
        <w:t>restricted investment</w:t>
      </w:r>
      <w:r w:rsidR="00AD60D4">
        <w:rPr>
          <w:rFonts w:ascii="Arial" w:hAnsi="Arial" w:cs="Arial"/>
          <w:sz w:val="20"/>
          <w:szCs w:val="20"/>
        </w:rPr>
        <w:t xml:space="preserve"> areas so </w:t>
      </w:r>
      <w:r w:rsidR="00AB30AF" w:rsidRPr="00842A0F">
        <w:rPr>
          <w:rFonts w:ascii="Arial" w:hAnsi="Arial" w:cs="Arial"/>
          <w:sz w:val="20"/>
          <w:szCs w:val="20"/>
        </w:rPr>
        <w:t>there is no exposure to these.</w:t>
      </w:r>
      <w:r w:rsidR="00AB30AF">
        <w:rPr>
          <w:rFonts w:ascii="Arial" w:hAnsi="Arial" w:cs="Arial"/>
          <w:sz w:val="20"/>
          <w:szCs w:val="20"/>
        </w:rPr>
        <w:t xml:space="preserve"> </w:t>
      </w:r>
    </w:p>
    <w:p w14:paraId="5032127E" w14:textId="46204DCA" w:rsidR="00B30DD5" w:rsidRDefault="009A007F" w:rsidP="00501BE2">
      <w:pPr>
        <w:pStyle w:val="ListParagraph"/>
        <w:numPr>
          <w:ilvl w:val="0"/>
          <w:numId w:val="12"/>
        </w:numPr>
        <w:rPr>
          <w:rFonts w:ascii="Arial" w:hAnsi="Arial" w:cs="Arial"/>
          <w:sz w:val="20"/>
          <w:szCs w:val="20"/>
        </w:rPr>
      </w:pPr>
      <w:r>
        <w:rPr>
          <w:rFonts w:ascii="Arial" w:hAnsi="Arial" w:cs="Arial"/>
          <w:sz w:val="20"/>
          <w:szCs w:val="20"/>
        </w:rPr>
        <w:t>E</w:t>
      </w:r>
      <w:r w:rsidR="00B30DD5" w:rsidRPr="0009332D">
        <w:rPr>
          <w:rFonts w:ascii="Arial" w:hAnsi="Arial" w:cs="Arial"/>
          <w:sz w:val="20"/>
          <w:szCs w:val="20"/>
        </w:rPr>
        <w:t xml:space="preserve">ngagement and progress towards net zero targets, with reference to </w:t>
      </w:r>
      <w:proofErr w:type="gramStart"/>
      <w:r w:rsidR="00B30DD5" w:rsidRPr="0009332D">
        <w:rPr>
          <w:rFonts w:ascii="Arial" w:hAnsi="Arial" w:cs="Arial"/>
          <w:sz w:val="20"/>
          <w:szCs w:val="20"/>
        </w:rPr>
        <w:t>University</w:t>
      </w:r>
      <w:proofErr w:type="gramEnd"/>
      <w:r w:rsidR="00B30DD5" w:rsidRPr="0009332D">
        <w:rPr>
          <w:rFonts w:ascii="Arial" w:hAnsi="Arial" w:cs="Arial"/>
          <w:sz w:val="20"/>
          <w:szCs w:val="20"/>
        </w:rPr>
        <w:t xml:space="preserve"> research when appropriate </w:t>
      </w:r>
    </w:p>
    <w:p w14:paraId="57E296C4" w14:textId="77777777" w:rsidR="006F5980" w:rsidRDefault="006F5980" w:rsidP="006F5980">
      <w:pPr>
        <w:pStyle w:val="ListParagraph"/>
        <w:ind w:left="360"/>
        <w:rPr>
          <w:rFonts w:ascii="Arial" w:hAnsi="Arial" w:cs="Arial"/>
          <w:sz w:val="20"/>
          <w:szCs w:val="20"/>
        </w:rPr>
      </w:pPr>
    </w:p>
    <w:p w14:paraId="735B3D54" w14:textId="044FB324" w:rsidR="006F5980" w:rsidRDefault="006F5980" w:rsidP="000253B5">
      <w:pPr>
        <w:pStyle w:val="NormalWeb"/>
        <w:shd w:val="clear" w:color="auto" w:fill="FFFFFF"/>
        <w:rPr>
          <w:rFonts w:ascii="Arial" w:hAnsi="Arial" w:cs="Arial"/>
          <w:color w:val="000000" w:themeColor="text1"/>
          <w:sz w:val="20"/>
          <w:szCs w:val="20"/>
          <w:lang w:eastAsia="en-US"/>
        </w:rPr>
      </w:pPr>
      <w:r w:rsidRPr="006F5980">
        <w:rPr>
          <w:rFonts w:ascii="Arial" w:hAnsi="Arial" w:cs="Arial"/>
          <w:color w:val="000000" w:themeColor="text1"/>
          <w:sz w:val="20"/>
          <w:szCs w:val="20"/>
          <w:lang w:eastAsia="en-US"/>
        </w:rPr>
        <w:t xml:space="preserve">As the University does not own shares in companies, all engagement activities are carried out by </w:t>
      </w:r>
      <w:proofErr w:type="spellStart"/>
      <w:r w:rsidRPr="006F5980">
        <w:rPr>
          <w:rFonts w:ascii="Arial" w:hAnsi="Arial" w:cs="Arial"/>
          <w:color w:val="000000" w:themeColor="text1"/>
          <w:sz w:val="20"/>
          <w:szCs w:val="20"/>
          <w:lang w:eastAsia="en-US"/>
        </w:rPr>
        <w:t>OUem</w:t>
      </w:r>
      <w:proofErr w:type="spellEnd"/>
      <w:r w:rsidRPr="006F5980">
        <w:rPr>
          <w:rFonts w:ascii="Arial" w:hAnsi="Arial" w:cs="Arial"/>
          <w:color w:val="000000" w:themeColor="text1"/>
          <w:sz w:val="20"/>
          <w:szCs w:val="20"/>
          <w:lang w:eastAsia="en-US"/>
        </w:rPr>
        <w:t xml:space="preserve"> at the investment manager level. Understanding a manager’s approach to ESG Risk Management and in particular climate change is one of their key areas of due diligence and ongoing evaluation. </w:t>
      </w:r>
      <w:proofErr w:type="spellStart"/>
      <w:r w:rsidRPr="006F5980">
        <w:rPr>
          <w:rFonts w:ascii="Arial" w:hAnsi="Arial" w:cs="Arial"/>
          <w:color w:val="000000" w:themeColor="text1"/>
          <w:sz w:val="20"/>
          <w:szCs w:val="20"/>
          <w:lang w:eastAsia="en-US"/>
        </w:rPr>
        <w:t>OUem</w:t>
      </w:r>
      <w:proofErr w:type="spellEnd"/>
      <w:r w:rsidRPr="006F5980">
        <w:rPr>
          <w:rFonts w:ascii="Arial" w:hAnsi="Arial" w:cs="Arial"/>
          <w:color w:val="000000" w:themeColor="text1"/>
          <w:sz w:val="20"/>
          <w:szCs w:val="20"/>
          <w:lang w:eastAsia="en-US"/>
        </w:rPr>
        <w:t xml:space="preserve"> share</w:t>
      </w:r>
      <w:r w:rsidR="000E2470">
        <w:rPr>
          <w:rFonts w:ascii="Arial" w:hAnsi="Arial" w:cs="Arial"/>
          <w:color w:val="000000" w:themeColor="text1"/>
          <w:sz w:val="20"/>
          <w:szCs w:val="20"/>
          <w:lang w:eastAsia="en-US"/>
        </w:rPr>
        <w:t>s</w:t>
      </w:r>
      <w:r w:rsidRPr="006F5980">
        <w:rPr>
          <w:rFonts w:ascii="Arial" w:hAnsi="Arial" w:cs="Arial"/>
          <w:color w:val="000000" w:themeColor="text1"/>
          <w:sz w:val="20"/>
          <w:szCs w:val="20"/>
          <w:lang w:eastAsia="en-US"/>
        </w:rPr>
        <w:t xml:space="preserve"> the OM Principles for Climate-Conscious Investment with all managers. </w:t>
      </w:r>
    </w:p>
    <w:p w14:paraId="2D28186C" w14:textId="77777777" w:rsidR="006F5980" w:rsidRDefault="006F5980" w:rsidP="000253B5">
      <w:pPr>
        <w:pStyle w:val="NormalWeb"/>
        <w:shd w:val="clear" w:color="auto" w:fill="FFFFFF"/>
        <w:rPr>
          <w:rFonts w:ascii="Arial" w:hAnsi="Arial" w:cs="Arial"/>
          <w:color w:val="000000"/>
          <w:sz w:val="20"/>
          <w:szCs w:val="20"/>
        </w:rPr>
      </w:pPr>
    </w:p>
    <w:p w14:paraId="5B50A67C" w14:textId="75E74CDB" w:rsidR="005972EC" w:rsidRDefault="000253B5" w:rsidP="008738DF">
      <w:pPr>
        <w:pStyle w:val="NormalWeb"/>
        <w:shd w:val="clear" w:color="auto" w:fill="FFFFFF"/>
        <w:rPr>
          <w:rFonts w:ascii="Arial" w:hAnsi="Arial" w:cs="Arial"/>
          <w:color w:val="201F1E"/>
          <w:sz w:val="20"/>
          <w:szCs w:val="20"/>
        </w:rPr>
      </w:pPr>
      <w:r w:rsidRPr="003F0674">
        <w:rPr>
          <w:rFonts w:ascii="Arial" w:hAnsi="Arial" w:cs="Arial"/>
          <w:color w:val="000000"/>
          <w:sz w:val="20"/>
          <w:szCs w:val="20"/>
        </w:rPr>
        <w:t>Since last reporting, </w:t>
      </w:r>
      <w:r w:rsidRPr="003F0674">
        <w:rPr>
          <w:rFonts w:ascii="Arial" w:hAnsi="Arial" w:cs="Arial"/>
          <w:color w:val="201F1E"/>
          <w:sz w:val="20"/>
          <w:szCs w:val="20"/>
        </w:rPr>
        <w:t xml:space="preserve">the manager of the </w:t>
      </w:r>
      <w:r w:rsidR="00A97E61">
        <w:rPr>
          <w:rFonts w:ascii="Arial" w:hAnsi="Arial" w:cs="Arial"/>
          <w:color w:val="201F1E"/>
          <w:sz w:val="20"/>
          <w:szCs w:val="20"/>
        </w:rPr>
        <w:t>equity</w:t>
      </w:r>
      <w:r w:rsidRPr="003F0674">
        <w:rPr>
          <w:rFonts w:ascii="Arial" w:hAnsi="Arial" w:cs="Arial"/>
          <w:color w:val="201F1E"/>
          <w:sz w:val="20"/>
          <w:szCs w:val="20"/>
        </w:rPr>
        <w:t xml:space="preserve"> index </w:t>
      </w:r>
      <w:r w:rsidR="00F3795A">
        <w:rPr>
          <w:rFonts w:ascii="Arial" w:hAnsi="Arial" w:cs="Arial"/>
          <w:color w:val="201F1E"/>
          <w:sz w:val="20"/>
          <w:szCs w:val="20"/>
        </w:rPr>
        <w:t xml:space="preserve">tracking </w:t>
      </w:r>
      <w:r w:rsidRPr="003F0674">
        <w:rPr>
          <w:rFonts w:ascii="Arial" w:hAnsi="Arial" w:cs="Arial"/>
          <w:color w:val="201F1E"/>
          <w:sz w:val="20"/>
          <w:szCs w:val="20"/>
        </w:rPr>
        <w:t xml:space="preserve">fund has continued its focus on </w:t>
      </w:r>
      <w:r w:rsidR="00415388">
        <w:rPr>
          <w:rFonts w:ascii="Arial" w:hAnsi="Arial" w:cs="Arial"/>
          <w:color w:val="201F1E"/>
          <w:sz w:val="20"/>
          <w:szCs w:val="20"/>
        </w:rPr>
        <w:t>sustainability and the climate</w:t>
      </w:r>
      <w:r w:rsidRPr="003F0674">
        <w:rPr>
          <w:rFonts w:ascii="Arial" w:hAnsi="Arial" w:cs="Arial"/>
          <w:color w:val="201F1E"/>
          <w:sz w:val="20"/>
          <w:szCs w:val="20"/>
        </w:rPr>
        <w:t xml:space="preserve">, with net zero an engagement priority across product lines. </w:t>
      </w:r>
      <w:r w:rsidR="008434C3">
        <w:rPr>
          <w:rFonts w:ascii="Arial" w:hAnsi="Arial" w:cs="Arial"/>
          <w:color w:val="201F1E"/>
          <w:sz w:val="20"/>
          <w:szCs w:val="20"/>
        </w:rPr>
        <w:t xml:space="preserve">Climate and natural capital-related engagements </w:t>
      </w:r>
      <w:r w:rsidRPr="003F0674">
        <w:rPr>
          <w:rFonts w:ascii="Arial" w:hAnsi="Arial" w:cs="Arial"/>
          <w:color w:val="201F1E"/>
          <w:sz w:val="20"/>
          <w:szCs w:val="20"/>
        </w:rPr>
        <w:t xml:space="preserve">totalled </w:t>
      </w:r>
      <w:r w:rsidR="008434C3">
        <w:rPr>
          <w:rFonts w:ascii="Arial" w:hAnsi="Arial" w:cs="Arial"/>
          <w:color w:val="201F1E"/>
          <w:sz w:val="20"/>
          <w:szCs w:val="20"/>
        </w:rPr>
        <w:t>1</w:t>
      </w:r>
      <w:r w:rsidR="00393226">
        <w:rPr>
          <w:rFonts w:ascii="Arial" w:hAnsi="Arial" w:cs="Arial"/>
          <w:color w:val="201F1E"/>
          <w:sz w:val="20"/>
          <w:szCs w:val="20"/>
        </w:rPr>
        <w:t>,</w:t>
      </w:r>
      <w:r w:rsidR="00DE2869">
        <w:rPr>
          <w:rFonts w:ascii="Arial" w:hAnsi="Arial" w:cs="Arial"/>
          <w:color w:val="201F1E"/>
          <w:sz w:val="20"/>
          <w:szCs w:val="20"/>
        </w:rPr>
        <w:t>254</w:t>
      </w:r>
      <w:r w:rsidRPr="003F0674">
        <w:rPr>
          <w:rFonts w:ascii="Arial" w:hAnsi="Arial" w:cs="Arial"/>
          <w:color w:val="201F1E"/>
          <w:sz w:val="20"/>
          <w:szCs w:val="20"/>
        </w:rPr>
        <w:t xml:space="preserve"> </w:t>
      </w:r>
      <w:r w:rsidR="00836AF1" w:rsidRPr="003F0674">
        <w:rPr>
          <w:rFonts w:ascii="Arial" w:hAnsi="Arial" w:cs="Arial"/>
          <w:color w:val="201F1E"/>
          <w:sz w:val="20"/>
          <w:szCs w:val="20"/>
        </w:rPr>
        <w:t>in the</w:t>
      </w:r>
      <w:r w:rsidRPr="003F0674">
        <w:rPr>
          <w:rFonts w:ascii="Arial" w:hAnsi="Arial" w:cs="Arial"/>
          <w:color w:val="201F1E"/>
          <w:sz w:val="20"/>
          <w:szCs w:val="20"/>
        </w:rPr>
        <w:t xml:space="preserve"> 202</w:t>
      </w:r>
      <w:r w:rsidR="00631141">
        <w:rPr>
          <w:rFonts w:ascii="Arial" w:hAnsi="Arial" w:cs="Arial"/>
          <w:color w:val="201F1E"/>
          <w:sz w:val="20"/>
          <w:szCs w:val="20"/>
        </w:rPr>
        <w:t>3</w:t>
      </w:r>
      <w:r w:rsidR="00836AF1" w:rsidRPr="003F0674">
        <w:rPr>
          <w:rFonts w:ascii="Arial" w:hAnsi="Arial" w:cs="Arial"/>
          <w:color w:val="201F1E"/>
          <w:sz w:val="20"/>
          <w:szCs w:val="20"/>
        </w:rPr>
        <w:t>-</w:t>
      </w:r>
      <w:r w:rsidRPr="003F0674">
        <w:rPr>
          <w:rFonts w:ascii="Arial" w:hAnsi="Arial" w:cs="Arial"/>
          <w:color w:val="201F1E"/>
          <w:sz w:val="20"/>
          <w:szCs w:val="20"/>
        </w:rPr>
        <w:t>202</w:t>
      </w:r>
      <w:r w:rsidR="00631141">
        <w:rPr>
          <w:rFonts w:ascii="Arial" w:hAnsi="Arial" w:cs="Arial"/>
          <w:color w:val="201F1E"/>
          <w:sz w:val="20"/>
          <w:szCs w:val="20"/>
        </w:rPr>
        <w:t>4</w:t>
      </w:r>
      <w:r w:rsidR="00836AF1" w:rsidRPr="003F0674">
        <w:rPr>
          <w:rFonts w:ascii="Arial" w:hAnsi="Arial" w:cs="Arial"/>
          <w:color w:val="201F1E"/>
          <w:sz w:val="20"/>
          <w:szCs w:val="20"/>
        </w:rPr>
        <w:t xml:space="preserve"> proxy year</w:t>
      </w:r>
      <w:r w:rsidR="006D1593">
        <w:rPr>
          <w:rFonts w:ascii="Arial" w:hAnsi="Arial" w:cs="Arial"/>
          <w:color w:val="201F1E"/>
          <w:sz w:val="20"/>
          <w:szCs w:val="20"/>
        </w:rPr>
        <w:t>.</w:t>
      </w:r>
      <w:r w:rsidRPr="003F0674">
        <w:rPr>
          <w:rFonts w:ascii="Arial" w:hAnsi="Arial" w:cs="Arial"/>
          <w:color w:val="201F1E"/>
          <w:sz w:val="20"/>
          <w:szCs w:val="20"/>
        </w:rPr>
        <w:t xml:space="preserve"> </w:t>
      </w:r>
      <w:r w:rsidR="00537642">
        <w:rPr>
          <w:rFonts w:ascii="Arial" w:hAnsi="Arial" w:cs="Arial"/>
          <w:color w:val="201F1E"/>
          <w:sz w:val="20"/>
          <w:szCs w:val="20"/>
        </w:rPr>
        <w:t>The manager</w:t>
      </w:r>
      <w:r w:rsidR="00537642" w:rsidRPr="00537642">
        <w:rPr>
          <w:rFonts w:ascii="Arial" w:hAnsi="Arial" w:cs="Arial"/>
          <w:color w:val="201F1E"/>
          <w:sz w:val="20"/>
          <w:szCs w:val="20"/>
        </w:rPr>
        <w:t xml:space="preserve"> encouraged disclosures aligned with the </w:t>
      </w:r>
      <w:r w:rsidR="00177992">
        <w:rPr>
          <w:rFonts w:ascii="Arial" w:hAnsi="Arial" w:cs="Arial"/>
          <w:color w:val="201F1E"/>
          <w:sz w:val="20"/>
          <w:szCs w:val="20"/>
        </w:rPr>
        <w:t>TCFD reporting framework</w:t>
      </w:r>
      <w:r w:rsidR="00537642" w:rsidRPr="00537642">
        <w:rPr>
          <w:rFonts w:ascii="Arial" w:hAnsi="Arial" w:cs="Arial"/>
          <w:color w:val="201F1E"/>
          <w:sz w:val="20"/>
          <w:szCs w:val="20"/>
        </w:rPr>
        <w:t xml:space="preserve"> to support investors’ ability to assess </w:t>
      </w:r>
      <w:r w:rsidR="00C32B9D">
        <w:rPr>
          <w:rFonts w:ascii="Arial" w:hAnsi="Arial" w:cs="Arial"/>
          <w:color w:val="201F1E"/>
          <w:sz w:val="20"/>
          <w:szCs w:val="20"/>
        </w:rPr>
        <w:t>climate-related</w:t>
      </w:r>
      <w:r w:rsidR="00537642" w:rsidRPr="00537642">
        <w:rPr>
          <w:rFonts w:ascii="Arial" w:hAnsi="Arial" w:cs="Arial"/>
          <w:color w:val="201F1E"/>
          <w:sz w:val="20"/>
          <w:szCs w:val="20"/>
        </w:rPr>
        <w:t xml:space="preserve"> risks. </w:t>
      </w:r>
      <w:r w:rsidR="008738DF" w:rsidRPr="008738DF">
        <w:rPr>
          <w:rFonts w:ascii="Arial" w:hAnsi="Arial" w:cs="Arial"/>
          <w:color w:val="201F1E"/>
          <w:sz w:val="20"/>
          <w:szCs w:val="20"/>
        </w:rPr>
        <w:t xml:space="preserve">Throughout the 2023-2024 proxy year, </w:t>
      </w:r>
      <w:r w:rsidR="009F7DF6">
        <w:rPr>
          <w:rFonts w:ascii="Arial" w:hAnsi="Arial" w:cs="Arial"/>
          <w:color w:val="201F1E"/>
          <w:sz w:val="20"/>
          <w:szCs w:val="20"/>
        </w:rPr>
        <w:t>the manager</w:t>
      </w:r>
      <w:r w:rsidR="008738DF" w:rsidRPr="008738DF">
        <w:rPr>
          <w:rFonts w:ascii="Arial" w:hAnsi="Arial" w:cs="Arial"/>
          <w:color w:val="201F1E"/>
          <w:sz w:val="20"/>
          <w:szCs w:val="20"/>
        </w:rPr>
        <w:t xml:space="preserve"> continued</w:t>
      </w:r>
      <w:r w:rsidR="008738DF">
        <w:rPr>
          <w:rFonts w:ascii="Arial" w:hAnsi="Arial" w:cs="Arial"/>
          <w:color w:val="201F1E"/>
          <w:sz w:val="20"/>
          <w:szCs w:val="20"/>
        </w:rPr>
        <w:t xml:space="preserve"> </w:t>
      </w:r>
      <w:r w:rsidR="008738DF" w:rsidRPr="008738DF">
        <w:rPr>
          <w:rFonts w:ascii="Arial" w:hAnsi="Arial" w:cs="Arial"/>
          <w:color w:val="201F1E"/>
          <w:sz w:val="20"/>
          <w:szCs w:val="20"/>
        </w:rPr>
        <w:t>to observe companies expand their climate-related reporting in alignment with the TCFD.</w:t>
      </w:r>
    </w:p>
    <w:p w14:paraId="388BAE18" w14:textId="77777777" w:rsidR="005972EC" w:rsidRDefault="005972EC" w:rsidP="000253B5">
      <w:pPr>
        <w:pStyle w:val="NormalWeb"/>
        <w:shd w:val="clear" w:color="auto" w:fill="FFFFFF"/>
        <w:rPr>
          <w:rFonts w:ascii="Arial" w:hAnsi="Arial" w:cs="Arial"/>
          <w:color w:val="201F1E"/>
          <w:sz w:val="20"/>
          <w:szCs w:val="20"/>
        </w:rPr>
      </w:pPr>
    </w:p>
    <w:p w14:paraId="48E26376" w14:textId="137A203F" w:rsidR="00D9672A" w:rsidRDefault="000253B5" w:rsidP="00A84DBF">
      <w:pPr>
        <w:pStyle w:val="NormalWeb"/>
        <w:shd w:val="clear" w:color="auto" w:fill="FFFFFF"/>
        <w:rPr>
          <w:rFonts w:ascii="Arial" w:hAnsi="Arial" w:cs="Arial"/>
          <w:color w:val="000000"/>
          <w:sz w:val="20"/>
          <w:szCs w:val="20"/>
        </w:rPr>
      </w:pPr>
      <w:r w:rsidRPr="003F0674">
        <w:rPr>
          <w:rFonts w:ascii="Arial" w:hAnsi="Arial" w:cs="Arial"/>
          <w:color w:val="201F1E"/>
          <w:sz w:val="20"/>
          <w:szCs w:val="20"/>
        </w:rPr>
        <w:t xml:space="preserve">For the </w:t>
      </w:r>
      <w:r w:rsidR="003540EA">
        <w:rPr>
          <w:rFonts w:ascii="Arial" w:hAnsi="Arial" w:cs="Arial"/>
          <w:color w:val="201F1E"/>
          <w:sz w:val="20"/>
          <w:szCs w:val="20"/>
        </w:rPr>
        <w:t>equity</w:t>
      </w:r>
      <w:r w:rsidR="00B20B8A" w:rsidRPr="003F0674">
        <w:rPr>
          <w:rFonts w:ascii="Arial" w:hAnsi="Arial" w:cs="Arial"/>
          <w:color w:val="201F1E"/>
          <w:sz w:val="20"/>
          <w:szCs w:val="20"/>
        </w:rPr>
        <w:t xml:space="preserve"> index</w:t>
      </w:r>
      <w:r w:rsidR="00C51E2B">
        <w:rPr>
          <w:rFonts w:ascii="Arial" w:hAnsi="Arial" w:cs="Arial"/>
          <w:color w:val="201F1E"/>
          <w:sz w:val="20"/>
          <w:szCs w:val="20"/>
        </w:rPr>
        <w:t xml:space="preserve"> track</w:t>
      </w:r>
      <w:r w:rsidR="00D85FA6">
        <w:rPr>
          <w:rFonts w:ascii="Arial" w:hAnsi="Arial" w:cs="Arial"/>
          <w:color w:val="201F1E"/>
          <w:sz w:val="20"/>
          <w:szCs w:val="20"/>
        </w:rPr>
        <w:t>ing</w:t>
      </w:r>
      <w:r w:rsidR="00B20B8A" w:rsidRPr="003F0674">
        <w:rPr>
          <w:rFonts w:ascii="Arial" w:hAnsi="Arial" w:cs="Arial"/>
          <w:color w:val="201F1E"/>
          <w:sz w:val="20"/>
          <w:szCs w:val="20"/>
        </w:rPr>
        <w:t xml:space="preserve"> f</w:t>
      </w:r>
      <w:r w:rsidRPr="003F0674">
        <w:rPr>
          <w:rFonts w:ascii="Arial" w:hAnsi="Arial" w:cs="Arial"/>
          <w:color w:val="201F1E"/>
          <w:sz w:val="20"/>
          <w:szCs w:val="20"/>
        </w:rPr>
        <w:t xml:space="preserve">und itself, weighted average carbon intensity is published at </w:t>
      </w:r>
      <w:r w:rsidR="00245C48">
        <w:rPr>
          <w:rFonts w:ascii="Arial" w:hAnsi="Arial" w:cs="Arial"/>
          <w:color w:val="201F1E"/>
          <w:sz w:val="20"/>
          <w:szCs w:val="20"/>
        </w:rPr>
        <w:t>6</w:t>
      </w:r>
      <w:r w:rsidR="001546C4">
        <w:rPr>
          <w:rFonts w:ascii="Arial" w:hAnsi="Arial" w:cs="Arial"/>
          <w:color w:val="201F1E"/>
          <w:sz w:val="20"/>
          <w:szCs w:val="20"/>
        </w:rPr>
        <w:t>0.3</w:t>
      </w:r>
      <w:r w:rsidRPr="003F0674">
        <w:rPr>
          <w:rFonts w:ascii="Arial" w:hAnsi="Arial" w:cs="Arial"/>
          <w:color w:val="201F1E"/>
          <w:sz w:val="20"/>
          <w:szCs w:val="20"/>
        </w:rPr>
        <w:t xml:space="preserve"> tCO</w:t>
      </w:r>
      <w:r w:rsidRPr="003F0674">
        <w:rPr>
          <w:rFonts w:ascii="Arial" w:hAnsi="Arial" w:cs="Arial"/>
          <w:color w:val="201F1E"/>
          <w:sz w:val="20"/>
          <w:szCs w:val="20"/>
          <w:vertAlign w:val="subscript"/>
        </w:rPr>
        <w:t>2</w:t>
      </w:r>
      <w:r w:rsidRPr="003F0674">
        <w:rPr>
          <w:rFonts w:ascii="Arial" w:hAnsi="Arial" w:cs="Arial"/>
          <w:color w:val="201F1E"/>
          <w:sz w:val="20"/>
          <w:szCs w:val="20"/>
        </w:rPr>
        <w:t xml:space="preserve">/$m sales </w:t>
      </w:r>
      <w:r w:rsidR="00250B74" w:rsidRPr="003F0674">
        <w:rPr>
          <w:rFonts w:ascii="Arial" w:hAnsi="Arial" w:cs="Arial"/>
          <w:color w:val="201F1E"/>
          <w:sz w:val="20"/>
          <w:szCs w:val="20"/>
        </w:rPr>
        <w:t xml:space="preserve">for 12 months </w:t>
      </w:r>
      <w:r w:rsidRPr="003F0674">
        <w:rPr>
          <w:rFonts w:ascii="Arial" w:hAnsi="Arial" w:cs="Arial"/>
          <w:color w:val="201F1E"/>
          <w:sz w:val="20"/>
          <w:szCs w:val="20"/>
        </w:rPr>
        <w:t xml:space="preserve">to </w:t>
      </w:r>
      <w:r w:rsidR="008676A3" w:rsidRPr="003F0674">
        <w:rPr>
          <w:rFonts w:ascii="Arial" w:hAnsi="Arial" w:cs="Arial"/>
          <w:color w:val="201F1E"/>
          <w:sz w:val="20"/>
          <w:szCs w:val="20"/>
        </w:rPr>
        <w:t>December 202</w:t>
      </w:r>
      <w:r w:rsidR="001546C4">
        <w:rPr>
          <w:rFonts w:ascii="Arial" w:hAnsi="Arial" w:cs="Arial"/>
          <w:color w:val="201F1E"/>
          <w:sz w:val="20"/>
          <w:szCs w:val="20"/>
        </w:rPr>
        <w:t>4</w:t>
      </w:r>
      <w:r w:rsidRPr="003F0674">
        <w:rPr>
          <w:rFonts w:ascii="Arial" w:hAnsi="Arial" w:cs="Arial"/>
          <w:color w:val="201F1E"/>
          <w:sz w:val="20"/>
          <w:szCs w:val="20"/>
        </w:rPr>
        <w:t xml:space="preserve"> compared with </w:t>
      </w:r>
      <w:r w:rsidR="00324796" w:rsidRPr="003F0674">
        <w:rPr>
          <w:rFonts w:ascii="Arial" w:hAnsi="Arial" w:cs="Arial"/>
          <w:color w:val="201F1E"/>
          <w:sz w:val="20"/>
          <w:szCs w:val="20"/>
        </w:rPr>
        <w:t>1</w:t>
      </w:r>
      <w:r w:rsidR="007B4C6F">
        <w:rPr>
          <w:rFonts w:ascii="Arial" w:hAnsi="Arial" w:cs="Arial"/>
          <w:color w:val="201F1E"/>
          <w:sz w:val="20"/>
          <w:szCs w:val="20"/>
        </w:rPr>
        <w:t>17.4</w:t>
      </w:r>
      <w:r w:rsidRPr="003F0674">
        <w:rPr>
          <w:rFonts w:ascii="Arial" w:hAnsi="Arial" w:cs="Arial"/>
          <w:color w:val="201F1E"/>
          <w:sz w:val="20"/>
          <w:szCs w:val="20"/>
        </w:rPr>
        <w:t xml:space="preserve"> tCO</w:t>
      </w:r>
      <w:r w:rsidRPr="003F0674">
        <w:rPr>
          <w:rFonts w:ascii="Arial" w:hAnsi="Arial" w:cs="Arial"/>
          <w:color w:val="201F1E"/>
          <w:sz w:val="20"/>
          <w:szCs w:val="20"/>
          <w:vertAlign w:val="subscript"/>
        </w:rPr>
        <w:t>2</w:t>
      </w:r>
      <w:r w:rsidRPr="003F0674">
        <w:rPr>
          <w:rFonts w:ascii="Arial" w:hAnsi="Arial" w:cs="Arial"/>
          <w:color w:val="201F1E"/>
          <w:sz w:val="20"/>
          <w:szCs w:val="20"/>
        </w:rPr>
        <w:t>/$m sales for the MSCI ACWI.</w:t>
      </w:r>
      <w:r w:rsidR="00B92C25">
        <w:rPr>
          <w:rFonts w:ascii="Arial" w:hAnsi="Arial" w:cs="Arial"/>
          <w:color w:val="201F1E"/>
          <w:sz w:val="20"/>
          <w:szCs w:val="20"/>
        </w:rPr>
        <w:t xml:space="preserve"> </w:t>
      </w:r>
      <w:r w:rsidR="00F36DFF">
        <w:rPr>
          <w:rFonts w:ascii="Arial" w:hAnsi="Arial" w:cs="Arial"/>
          <w:color w:val="201F1E"/>
          <w:sz w:val="20"/>
          <w:szCs w:val="20"/>
        </w:rPr>
        <w:t>The</w:t>
      </w:r>
      <w:r w:rsidRPr="004D0F29">
        <w:rPr>
          <w:rFonts w:ascii="Arial" w:hAnsi="Arial" w:cs="Arial"/>
          <w:color w:val="201F1E"/>
          <w:sz w:val="20"/>
          <w:szCs w:val="20"/>
        </w:rPr>
        <w:t xml:space="preserve"> bond manager </w:t>
      </w:r>
      <w:r w:rsidR="00F36DFF">
        <w:rPr>
          <w:rFonts w:ascii="Arial" w:hAnsi="Arial" w:cs="Arial"/>
          <w:color w:val="201F1E"/>
          <w:sz w:val="20"/>
          <w:szCs w:val="20"/>
        </w:rPr>
        <w:t>is a member of the</w:t>
      </w:r>
      <w:r w:rsidRPr="004D0F29">
        <w:rPr>
          <w:rFonts w:ascii="Arial" w:hAnsi="Arial" w:cs="Arial"/>
          <w:color w:val="201F1E"/>
          <w:sz w:val="20"/>
          <w:szCs w:val="20"/>
        </w:rPr>
        <w:t xml:space="preserve"> Net Zero Asset Managers initiative</w:t>
      </w:r>
      <w:r w:rsidR="00F36DFF">
        <w:rPr>
          <w:rFonts w:ascii="Arial" w:hAnsi="Arial" w:cs="Arial"/>
          <w:color w:val="201F1E"/>
          <w:sz w:val="20"/>
          <w:szCs w:val="20"/>
        </w:rPr>
        <w:t xml:space="preserve"> (</w:t>
      </w:r>
      <w:r w:rsidR="007F3AA0">
        <w:rPr>
          <w:rFonts w:ascii="Arial" w:hAnsi="Arial" w:cs="Arial"/>
          <w:color w:val="201F1E"/>
          <w:sz w:val="20"/>
          <w:szCs w:val="20"/>
        </w:rPr>
        <w:t>joined</w:t>
      </w:r>
      <w:r w:rsidR="00F36DFF">
        <w:rPr>
          <w:rFonts w:ascii="Arial" w:hAnsi="Arial" w:cs="Arial"/>
          <w:color w:val="201F1E"/>
          <w:sz w:val="20"/>
          <w:szCs w:val="20"/>
        </w:rPr>
        <w:t xml:space="preserve"> 2021)</w:t>
      </w:r>
      <w:r w:rsidR="00C61895" w:rsidRPr="004D0F29">
        <w:rPr>
          <w:rFonts w:ascii="Arial" w:hAnsi="Arial" w:cs="Arial"/>
          <w:color w:val="201F1E"/>
          <w:sz w:val="20"/>
          <w:szCs w:val="20"/>
        </w:rPr>
        <w:t xml:space="preserve"> and </w:t>
      </w:r>
      <w:r w:rsidR="00C61895" w:rsidRPr="004D0F29">
        <w:rPr>
          <w:rFonts w:ascii="Arial" w:hAnsi="Arial" w:cs="Arial"/>
          <w:color w:val="201F1E"/>
          <w:sz w:val="20"/>
          <w:szCs w:val="20"/>
        </w:rPr>
        <w:lastRenderedPageBreak/>
        <w:t>continue</w:t>
      </w:r>
      <w:r w:rsidR="00F36DFF">
        <w:rPr>
          <w:rFonts w:ascii="Arial" w:hAnsi="Arial" w:cs="Arial"/>
          <w:color w:val="201F1E"/>
          <w:sz w:val="20"/>
          <w:szCs w:val="20"/>
        </w:rPr>
        <w:t>s</w:t>
      </w:r>
      <w:r w:rsidR="00C61895" w:rsidRPr="004D0F29">
        <w:rPr>
          <w:rFonts w:ascii="Arial" w:hAnsi="Arial" w:cs="Arial"/>
          <w:color w:val="201F1E"/>
          <w:sz w:val="20"/>
          <w:szCs w:val="20"/>
        </w:rPr>
        <w:t xml:space="preserve"> to engage </w:t>
      </w:r>
      <w:r w:rsidR="00DB14EC">
        <w:rPr>
          <w:rFonts w:ascii="Arial" w:hAnsi="Arial" w:cs="Arial"/>
          <w:color w:val="201F1E"/>
          <w:sz w:val="20"/>
          <w:szCs w:val="20"/>
        </w:rPr>
        <w:t>in line with this initiative</w:t>
      </w:r>
      <w:r w:rsidRPr="004D0F29">
        <w:rPr>
          <w:rFonts w:ascii="Arial" w:hAnsi="Arial" w:cs="Arial"/>
          <w:color w:val="201F1E"/>
          <w:sz w:val="20"/>
          <w:szCs w:val="20"/>
        </w:rPr>
        <w:t xml:space="preserve">. </w:t>
      </w:r>
      <w:r w:rsidR="00225235">
        <w:rPr>
          <w:rFonts w:ascii="Arial" w:hAnsi="Arial" w:cs="Arial"/>
          <w:color w:val="201F1E"/>
          <w:sz w:val="20"/>
          <w:szCs w:val="20"/>
        </w:rPr>
        <w:t>They provide substantial reporting against the TCFD framework and are a signatory of the UK Stewardship Code.</w:t>
      </w:r>
      <w:r w:rsidR="00225235" w:rsidRPr="004D0F29">
        <w:rPr>
          <w:rFonts w:ascii="Arial" w:hAnsi="Arial" w:cs="Arial"/>
          <w:color w:val="201F1E"/>
          <w:sz w:val="20"/>
          <w:szCs w:val="20"/>
        </w:rPr>
        <w:t xml:space="preserve"> The</w:t>
      </w:r>
      <w:r w:rsidRPr="004D0F29">
        <w:rPr>
          <w:rFonts w:ascii="Arial" w:hAnsi="Arial" w:cs="Arial"/>
          <w:color w:val="201F1E"/>
          <w:sz w:val="20"/>
          <w:szCs w:val="20"/>
        </w:rPr>
        <w:t xml:space="preserve"> manager continues to integrate </w:t>
      </w:r>
      <w:r w:rsidRPr="004D0F29">
        <w:rPr>
          <w:rFonts w:ascii="Arial" w:hAnsi="Arial" w:cs="Arial"/>
          <w:color w:val="000000"/>
          <w:sz w:val="20"/>
          <w:szCs w:val="20"/>
        </w:rPr>
        <w:t>environmental considerations in both sovereign and corporate credit strategies; this includes work on pollution, water, and climate for sovereigns, and work on pollution, supply chain management, and climate for corporates.</w:t>
      </w:r>
      <w:r w:rsidR="008A5CBE" w:rsidRPr="004D0F29">
        <w:rPr>
          <w:rFonts w:ascii="Arial" w:hAnsi="Arial" w:cs="Arial"/>
          <w:color w:val="000000"/>
          <w:sz w:val="20"/>
          <w:szCs w:val="20"/>
        </w:rPr>
        <w:t xml:space="preserve"> </w:t>
      </w:r>
    </w:p>
    <w:p w14:paraId="3F29AC9F" w14:textId="77777777" w:rsidR="000253B5" w:rsidRPr="000253B5" w:rsidRDefault="000253B5" w:rsidP="000253B5">
      <w:pPr>
        <w:pStyle w:val="NormalWeb"/>
        <w:shd w:val="clear" w:color="auto" w:fill="FFFFFF"/>
        <w:rPr>
          <w:color w:val="201F1E"/>
          <w:sz w:val="18"/>
          <w:szCs w:val="18"/>
        </w:rPr>
      </w:pPr>
    </w:p>
    <w:p w14:paraId="2BFC5ABE" w14:textId="358B798E" w:rsidR="00B30DD5" w:rsidRDefault="00FD7E40" w:rsidP="00501BE2">
      <w:pPr>
        <w:pStyle w:val="ListParagraph"/>
        <w:numPr>
          <w:ilvl w:val="0"/>
          <w:numId w:val="12"/>
        </w:numPr>
        <w:rPr>
          <w:rFonts w:ascii="Arial" w:hAnsi="Arial" w:cs="Arial"/>
          <w:sz w:val="20"/>
          <w:szCs w:val="20"/>
        </w:rPr>
      </w:pPr>
      <w:r>
        <w:rPr>
          <w:rFonts w:ascii="Arial" w:hAnsi="Arial" w:cs="Arial"/>
          <w:sz w:val="20"/>
          <w:szCs w:val="20"/>
        </w:rPr>
        <w:t>R</w:t>
      </w:r>
      <w:r w:rsidR="00B30DD5" w:rsidRPr="0009332D">
        <w:rPr>
          <w:rFonts w:ascii="Arial" w:hAnsi="Arial" w:cs="Arial"/>
          <w:sz w:val="20"/>
          <w:szCs w:val="20"/>
        </w:rPr>
        <w:t xml:space="preserve">eview of any remaining fossil fuel investments for evidence of Paris- and IPCC-aligned hard net zero plans. </w:t>
      </w:r>
    </w:p>
    <w:p w14:paraId="567753C7" w14:textId="59AC5A4B" w:rsidR="00BE4F82" w:rsidRPr="00BE4F82" w:rsidRDefault="00DA799F" w:rsidP="00DA799F">
      <w:pPr>
        <w:spacing w:before="120" w:line="240" w:lineRule="auto"/>
        <w:contextualSpacing/>
        <w:jc w:val="both"/>
        <w:rPr>
          <w:rFonts w:ascii="Arial" w:hAnsi="Arial" w:cs="Arial"/>
          <w:sz w:val="20"/>
          <w:szCs w:val="20"/>
        </w:rPr>
      </w:pPr>
      <w:r w:rsidRPr="00DA799F">
        <w:rPr>
          <w:rFonts w:ascii="Arial" w:hAnsi="Arial" w:cs="Arial"/>
          <w:sz w:val="20"/>
          <w:szCs w:val="20"/>
        </w:rPr>
        <w:t xml:space="preserve">The </w:t>
      </w:r>
      <w:r w:rsidR="00D97523">
        <w:rPr>
          <w:rFonts w:ascii="Arial" w:hAnsi="Arial" w:cs="Arial"/>
          <w:sz w:val="20"/>
          <w:szCs w:val="20"/>
        </w:rPr>
        <w:t xml:space="preserve">equity </w:t>
      </w:r>
      <w:r w:rsidRPr="00DA799F">
        <w:rPr>
          <w:rFonts w:ascii="Arial" w:hAnsi="Arial" w:cs="Arial"/>
          <w:sz w:val="20"/>
          <w:szCs w:val="20"/>
        </w:rPr>
        <w:t>index tracking fund screens out fossil fuels and other restricted investments. For the bond mandate the discretionary i</w:t>
      </w:r>
      <w:r w:rsidRPr="00DA799F">
        <w:rPr>
          <w:rFonts w:ascii="Arial" w:eastAsia="Century Gothic" w:hAnsi="Arial" w:cs="Arial"/>
          <w:color w:val="000000" w:themeColor="text1"/>
          <w:kern w:val="24"/>
          <w:sz w:val="20"/>
          <w:szCs w:val="20"/>
        </w:rPr>
        <w:t>nvestment agreement include</w:t>
      </w:r>
      <w:r w:rsidR="00927AC4">
        <w:rPr>
          <w:rFonts w:ascii="Arial" w:eastAsia="Century Gothic" w:hAnsi="Arial" w:cs="Arial"/>
          <w:color w:val="000000" w:themeColor="text1"/>
          <w:kern w:val="24"/>
          <w:sz w:val="20"/>
          <w:szCs w:val="20"/>
        </w:rPr>
        <w:t>s</w:t>
      </w:r>
      <w:r w:rsidRPr="00DA799F">
        <w:rPr>
          <w:rFonts w:ascii="Arial" w:eastAsiaTheme="minorEastAsia" w:hAnsi="Arial" w:cs="Arial"/>
          <w:color w:val="000000" w:themeColor="text1"/>
          <w:kern w:val="24"/>
          <w:sz w:val="20"/>
          <w:szCs w:val="20"/>
        </w:rPr>
        <w:t xml:space="preserve"> a ban on </w:t>
      </w:r>
      <w:r w:rsidR="009D7B52">
        <w:rPr>
          <w:rFonts w:ascii="Arial" w:eastAsiaTheme="minorEastAsia" w:hAnsi="Arial" w:cs="Arial"/>
          <w:color w:val="000000" w:themeColor="text1"/>
          <w:kern w:val="24"/>
          <w:sz w:val="20"/>
          <w:szCs w:val="20"/>
        </w:rPr>
        <w:t xml:space="preserve">investing in the bonds of </w:t>
      </w:r>
      <w:r w:rsidRPr="00DA799F">
        <w:rPr>
          <w:rFonts w:ascii="Arial" w:eastAsiaTheme="minorEastAsia" w:hAnsi="Arial" w:cs="Arial"/>
          <w:color w:val="000000" w:themeColor="text1"/>
          <w:kern w:val="24"/>
          <w:sz w:val="20"/>
          <w:szCs w:val="20"/>
        </w:rPr>
        <w:t>fossil fuel extractors</w:t>
      </w:r>
      <w:r>
        <w:rPr>
          <w:rFonts w:ascii="Arial" w:eastAsiaTheme="minorEastAsia" w:hAnsi="Arial" w:cs="Arial"/>
          <w:color w:val="000000" w:themeColor="text1"/>
          <w:kern w:val="24"/>
          <w:sz w:val="20"/>
          <w:szCs w:val="20"/>
        </w:rPr>
        <w:t xml:space="preserve"> </w:t>
      </w:r>
      <w:r w:rsidR="003F6C3A">
        <w:rPr>
          <w:rFonts w:ascii="Arial" w:hAnsi="Arial" w:cs="Arial"/>
          <w:sz w:val="20"/>
          <w:szCs w:val="20"/>
        </w:rPr>
        <w:t>and therefor</w:t>
      </w:r>
      <w:r w:rsidR="00C141E7">
        <w:rPr>
          <w:rFonts w:ascii="Arial" w:hAnsi="Arial" w:cs="Arial"/>
          <w:sz w:val="20"/>
          <w:szCs w:val="20"/>
        </w:rPr>
        <w:t>e</w:t>
      </w:r>
      <w:r w:rsidR="003F6C3A">
        <w:rPr>
          <w:rFonts w:ascii="Arial" w:hAnsi="Arial" w:cs="Arial"/>
          <w:sz w:val="20"/>
          <w:szCs w:val="20"/>
        </w:rPr>
        <w:t xml:space="preserve"> no review is required</w:t>
      </w:r>
      <w:r w:rsidR="00054FCD">
        <w:rPr>
          <w:rFonts w:ascii="Arial" w:hAnsi="Arial" w:cs="Arial"/>
          <w:sz w:val="20"/>
          <w:szCs w:val="20"/>
        </w:rPr>
        <w:t xml:space="preserve">. </w:t>
      </w:r>
    </w:p>
    <w:p w14:paraId="0B32053E" w14:textId="329AEFDA" w:rsidR="00B30DD5" w:rsidRDefault="00B30DD5" w:rsidP="008B479E">
      <w:pPr>
        <w:pStyle w:val="ListParagraph"/>
        <w:numPr>
          <w:ilvl w:val="0"/>
          <w:numId w:val="12"/>
        </w:numPr>
        <w:spacing w:after="120"/>
        <w:ind w:left="357" w:hanging="357"/>
        <w:rPr>
          <w:rFonts w:ascii="Arial" w:hAnsi="Arial" w:cs="Arial"/>
          <w:sz w:val="20"/>
          <w:szCs w:val="20"/>
        </w:rPr>
      </w:pPr>
      <w:proofErr w:type="spellStart"/>
      <w:r w:rsidRPr="009B7337">
        <w:rPr>
          <w:rFonts w:ascii="Arial" w:hAnsi="Arial" w:cs="Arial"/>
          <w:sz w:val="20"/>
          <w:szCs w:val="20"/>
        </w:rPr>
        <w:t>OUem’s</w:t>
      </w:r>
      <w:proofErr w:type="spellEnd"/>
      <w:r w:rsidRPr="009B7337">
        <w:rPr>
          <w:rFonts w:ascii="Arial" w:hAnsi="Arial" w:cs="Arial"/>
          <w:sz w:val="20"/>
          <w:szCs w:val="20"/>
        </w:rPr>
        <w:t xml:space="preserve"> progress on communicating a restriction to fund managers which may hold fossil fuel companies</w:t>
      </w:r>
    </w:p>
    <w:p w14:paraId="4867E44A" w14:textId="663ED286" w:rsidR="003D6945" w:rsidRPr="005821EF" w:rsidRDefault="005821EF" w:rsidP="005821EF">
      <w:pPr>
        <w:rPr>
          <w:rFonts w:ascii="Arial" w:hAnsi="Arial" w:cs="Arial"/>
          <w:sz w:val="20"/>
          <w:szCs w:val="20"/>
        </w:rPr>
      </w:pPr>
      <w:r>
        <w:rPr>
          <w:rFonts w:ascii="Arial" w:hAnsi="Arial" w:cs="Arial"/>
          <w:color w:val="000000" w:themeColor="text1"/>
          <w:sz w:val="20"/>
          <w:szCs w:val="20"/>
        </w:rPr>
        <w:t>As at 31 December 202</w:t>
      </w:r>
      <w:r w:rsidR="00263825">
        <w:rPr>
          <w:rFonts w:ascii="Arial" w:hAnsi="Arial" w:cs="Arial"/>
          <w:color w:val="000000" w:themeColor="text1"/>
          <w:sz w:val="20"/>
          <w:szCs w:val="20"/>
        </w:rPr>
        <w:t>4</w:t>
      </w:r>
      <w:r>
        <w:rPr>
          <w:rFonts w:ascii="Arial" w:hAnsi="Arial" w:cs="Arial"/>
          <w:color w:val="000000" w:themeColor="text1"/>
          <w:sz w:val="20"/>
          <w:szCs w:val="20"/>
        </w:rPr>
        <w:t xml:space="preserve">, there were no direct </w:t>
      </w:r>
      <w:r w:rsidR="003F4EAB">
        <w:rPr>
          <w:rFonts w:ascii="Arial" w:hAnsi="Arial" w:cs="Arial"/>
          <w:color w:val="000000" w:themeColor="text1"/>
          <w:sz w:val="20"/>
          <w:szCs w:val="20"/>
        </w:rPr>
        <w:t xml:space="preserve">holdings </w:t>
      </w:r>
      <w:r>
        <w:rPr>
          <w:rFonts w:ascii="Arial" w:hAnsi="Arial" w:cs="Arial"/>
          <w:color w:val="000000" w:themeColor="text1"/>
          <w:sz w:val="20"/>
          <w:szCs w:val="20"/>
        </w:rPr>
        <w:t xml:space="preserve">or indirect </w:t>
      </w:r>
      <w:r w:rsidR="006F4B52">
        <w:rPr>
          <w:rFonts w:ascii="Arial" w:hAnsi="Arial" w:cs="Arial"/>
          <w:color w:val="000000" w:themeColor="text1"/>
          <w:sz w:val="20"/>
          <w:szCs w:val="20"/>
        </w:rPr>
        <w:t>exposure to</w:t>
      </w:r>
      <w:r>
        <w:rPr>
          <w:rFonts w:ascii="Arial" w:hAnsi="Arial" w:cs="Arial"/>
          <w:color w:val="000000" w:themeColor="text1"/>
          <w:sz w:val="20"/>
          <w:szCs w:val="20"/>
        </w:rPr>
        <w:t xml:space="preserve"> fossil fuel companies</w:t>
      </w:r>
      <w:r w:rsidR="008B479E">
        <w:rPr>
          <w:rFonts w:ascii="Arial" w:hAnsi="Arial" w:cs="Arial"/>
          <w:color w:val="000000" w:themeColor="text1"/>
          <w:sz w:val="20"/>
          <w:szCs w:val="20"/>
        </w:rPr>
        <w:t>.</w:t>
      </w:r>
    </w:p>
    <w:p w14:paraId="18FFC350" w14:textId="3EB580A9" w:rsidR="00B30DD5" w:rsidRPr="009B7337" w:rsidRDefault="00B30DD5" w:rsidP="00404690">
      <w:pPr>
        <w:pStyle w:val="ListParagraph"/>
        <w:numPr>
          <w:ilvl w:val="0"/>
          <w:numId w:val="12"/>
        </w:numPr>
        <w:spacing w:after="120"/>
        <w:ind w:left="357" w:hanging="357"/>
        <w:rPr>
          <w:rFonts w:ascii="Arial" w:hAnsi="Arial" w:cs="Arial"/>
          <w:sz w:val="20"/>
          <w:szCs w:val="20"/>
        </w:rPr>
      </w:pPr>
      <w:proofErr w:type="spellStart"/>
      <w:r w:rsidRPr="009B7337">
        <w:rPr>
          <w:rFonts w:ascii="Arial" w:hAnsi="Arial" w:cs="Arial"/>
          <w:sz w:val="20"/>
          <w:szCs w:val="20"/>
        </w:rPr>
        <w:t>OUem</w:t>
      </w:r>
      <w:proofErr w:type="spellEnd"/>
      <w:r w:rsidRPr="009B7337">
        <w:rPr>
          <w:rFonts w:ascii="Arial" w:hAnsi="Arial" w:cs="Arial"/>
          <w:sz w:val="20"/>
          <w:szCs w:val="20"/>
        </w:rPr>
        <w:t xml:space="preserve"> report on their actions in the event a fund manager continues to own fossil fuel companies which do not have a net zero plan. </w:t>
      </w:r>
    </w:p>
    <w:p w14:paraId="3B3A8BD3" w14:textId="131F49E8" w:rsidR="00305F02" w:rsidRPr="00305F02" w:rsidRDefault="00305F02" w:rsidP="00305F02">
      <w:pPr>
        <w:rPr>
          <w:rFonts w:ascii="Arial" w:hAnsi="Arial" w:cs="Arial"/>
          <w:sz w:val="20"/>
          <w:szCs w:val="20"/>
        </w:rPr>
      </w:pPr>
      <w:r w:rsidRPr="00305F02">
        <w:rPr>
          <w:rFonts w:ascii="Arial" w:hAnsi="Arial" w:cs="Arial"/>
          <w:color w:val="000000" w:themeColor="text1"/>
          <w:sz w:val="20"/>
          <w:szCs w:val="20"/>
        </w:rPr>
        <w:t>As at 31 December 202</w:t>
      </w:r>
      <w:r w:rsidR="009D6A12">
        <w:rPr>
          <w:rFonts w:ascii="Arial" w:hAnsi="Arial" w:cs="Arial"/>
          <w:color w:val="000000" w:themeColor="text1"/>
          <w:sz w:val="20"/>
          <w:szCs w:val="20"/>
        </w:rPr>
        <w:t>4</w:t>
      </w:r>
      <w:r w:rsidRPr="00305F02">
        <w:rPr>
          <w:rFonts w:ascii="Arial" w:hAnsi="Arial" w:cs="Arial"/>
          <w:color w:val="000000" w:themeColor="text1"/>
          <w:sz w:val="20"/>
          <w:szCs w:val="20"/>
        </w:rPr>
        <w:t xml:space="preserve">, there were no direct </w:t>
      </w:r>
      <w:r w:rsidR="003F4EAB">
        <w:rPr>
          <w:rFonts w:ascii="Arial" w:hAnsi="Arial" w:cs="Arial"/>
          <w:color w:val="000000" w:themeColor="text1"/>
          <w:sz w:val="20"/>
          <w:szCs w:val="20"/>
        </w:rPr>
        <w:t xml:space="preserve">holdings </w:t>
      </w:r>
      <w:r w:rsidRPr="00305F02">
        <w:rPr>
          <w:rFonts w:ascii="Arial" w:hAnsi="Arial" w:cs="Arial"/>
          <w:color w:val="000000" w:themeColor="text1"/>
          <w:sz w:val="20"/>
          <w:szCs w:val="20"/>
        </w:rPr>
        <w:t>or indirect</w:t>
      </w:r>
      <w:r w:rsidR="003F4EAB">
        <w:rPr>
          <w:rFonts w:ascii="Arial" w:hAnsi="Arial" w:cs="Arial"/>
          <w:color w:val="000000" w:themeColor="text1"/>
          <w:sz w:val="20"/>
          <w:szCs w:val="20"/>
        </w:rPr>
        <w:t xml:space="preserve"> exposure</w:t>
      </w:r>
      <w:r w:rsidR="007D3D4D">
        <w:rPr>
          <w:rFonts w:ascii="Arial" w:hAnsi="Arial" w:cs="Arial"/>
          <w:color w:val="000000" w:themeColor="text1"/>
          <w:sz w:val="20"/>
          <w:szCs w:val="20"/>
        </w:rPr>
        <w:t xml:space="preserve"> to</w:t>
      </w:r>
      <w:r w:rsidRPr="00305F02">
        <w:rPr>
          <w:rFonts w:ascii="Arial" w:hAnsi="Arial" w:cs="Arial"/>
          <w:color w:val="000000" w:themeColor="text1"/>
          <w:sz w:val="20"/>
          <w:szCs w:val="20"/>
        </w:rPr>
        <w:t xml:space="preserve"> fossil fuel companies.</w:t>
      </w:r>
    </w:p>
    <w:p w14:paraId="676775EB" w14:textId="673CB84D" w:rsidR="00B2766B" w:rsidRPr="00283692" w:rsidRDefault="00727651" w:rsidP="00501BE2">
      <w:pPr>
        <w:pStyle w:val="ListParagraph"/>
        <w:numPr>
          <w:ilvl w:val="1"/>
          <w:numId w:val="8"/>
        </w:numPr>
        <w:spacing w:after="240"/>
        <w:jc w:val="both"/>
        <w:rPr>
          <w:rFonts w:ascii="Arial" w:hAnsi="Arial" w:cs="Arial"/>
          <w:b/>
          <w:sz w:val="20"/>
          <w:szCs w:val="20"/>
        </w:rPr>
      </w:pPr>
      <w:r>
        <w:rPr>
          <w:rFonts w:ascii="Arial" w:hAnsi="Arial" w:cs="Arial"/>
          <w:b/>
          <w:sz w:val="20"/>
          <w:szCs w:val="20"/>
        </w:rPr>
        <w:t>The Oxford Endowment Fund</w:t>
      </w:r>
    </w:p>
    <w:p w14:paraId="022F0EC8" w14:textId="07594AD6" w:rsidR="00112A7D" w:rsidRDefault="00F66B11" w:rsidP="00BB483A">
      <w:pPr>
        <w:pStyle w:val="NormalWeb"/>
        <w:shd w:val="clear" w:color="auto" w:fill="FFFFFF"/>
        <w:rPr>
          <w:rFonts w:ascii="Arial" w:hAnsi="Arial" w:cs="Arial"/>
          <w:color w:val="000000"/>
          <w:sz w:val="20"/>
          <w:szCs w:val="20"/>
        </w:rPr>
      </w:pPr>
      <w:r w:rsidRPr="00BB483A">
        <w:rPr>
          <w:rFonts w:ascii="Arial" w:hAnsi="Arial" w:cs="Arial"/>
          <w:color w:val="000000"/>
          <w:sz w:val="20"/>
          <w:szCs w:val="20"/>
        </w:rPr>
        <w:t xml:space="preserve">The University owns units in the </w:t>
      </w:r>
      <w:r w:rsidR="00914CB6" w:rsidRPr="00BB483A">
        <w:rPr>
          <w:rFonts w:ascii="Arial" w:hAnsi="Arial" w:cs="Arial"/>
          <w:color w:val="000000"/>
          <w:sz w:val="20"/>
          <w:szCs w:val="20"/>
        </w:rPr>
        <w:t>Oxford Fund</w:t>
      </w:r>
      <w:r w:rsidR="009A00F5" w:rsidRPr="00BB483A">
        <w:rPr>
          <w:rFonts w:ascii="Arial" w:hAnsi="Arial" w:cs="Arial"/>
          <w:color w:val="000000"/>
          <w:sz w:val="20"/>
          <w:szCs w:val="20"/>
        </w:rPr>
        <w:t>s</w:t>
      </w:r>
      <w:r w:rsidR="001757C5" w:rsidRPr="00BB483A">
        <w:rPr>
          <w:rFonts w:ascii="Arial" w:hAnsi="Arial" w:cs="Arial"/>
          <w:color w:val="000000"/>
          <w:sz w:val="20"/>
          <w:szCs w:val="20"/>
        </w:rPr>
        <w:t>: Colle</w:t>
      </w:r>
      <w:r w:rsidR="004968F0" w:rsidRPr="00BB483A">
        <w:rPr>
          <w:rFonts w:ascii="Arial" w:hAnsi="Arial" w:cs="Arial"/>
          <w:color w:val="000000"/>
          <w:sz w:val="20"/>
          <w:szCs w:val="20"/>
        </w:rPr>
        <w:t xml:space="preserve">giate Feeder </w:t>
      </w:r>
      <w:r w:rsidR="00A866E6" w:rsidRPr="00BB483A">
        <w:rPr>
          <w:rFonts w:ascii="Arial" w:hAnsi="Arial" w:cs="Arial"/>
          <w:color w:val="000000"/>
          <w:sz w:val="20"/>
          <w:szCs w:val="20"/>
        </w:rPr>
        <w:t>fund</w:t>
      </w:r>
      <w:r w:rsidR="00B21614" w:rsidRPr="00BB483A">
        <w:rPr>
          <w:rFonts w:ascii="Arial" w:hAnsi="Arial" w:cs="Arial"/>
          <w:color w:val="000000"/>
          <w:sz w:val="20"/>
          <w:szCs w:val="20"/>
        </w:rPr>
        <w:t xml:space="preserve">. This is known as the </w:t>
      </w:r>
      <w:r w:rsidR="009A00F5" w:rsidRPr="00BB483A">
        <w:rPr>
          <w:rFonts w:ascii="Arial" w:hAnsi="Arial" w:cs="Arial"/>
          <w:color w:val="000000"/>
          <w:sz w:val="20"/>
          <w:szCs w:val="20"/>
        </w:rPr>
        <w:t>O</w:t>
      </w:r>
      <w:r w:rsidR="00F53FC4" w:rsidRPr="00BB483A">
        <w:rPr>
          <w:rFonts w:ascii="Arial" w:hAnsi="Arial" w:cs="Arial"/>
          <w:color w:val="000000"/>
          <w:sz w:val="20"/>
          <w:szCs w:val="20"/>
        </w:rPr>
        <w:t>xford Endowment Fund</w:t>
      </w:r>
      <w:r w:rsidR="0036086A" w:rsidRPr="00BB483A">
        <w:rPr>
          <w:rFonts w:ascii="Arial" w:hAnsi="Arial" w:cs="Arial"/>
          <w:color w:val="000000"/>
          <w:sz w:val="20"/>
          <w:szCs w:val="20"/>
        </w:rPr>
        <w:t xml:space="preserve"> </w:t>
      </w:r>
      <w:r w:rsidR="00603E53" w:rsidRPr="00BB483A">
        <w:rPr>
          <w:rFonts w:ascii="Arial" w:hAnsi="Arial" w:cs="Arial"/>
          <w:color w:val="000000"/>
          <w:sz w:val="20"/>
          <w:szCs w:val="20"/>
        </w:rPr>
        <w:t xml:space="preserve">(OEF) </w:t>
      </w:r>
      <w:r w:rsidR="0036086A" w:rsidRPr="00BB483A">
        <w:rPr>
          <w:rFonts w:ascii="Arial" w:hAnsi="Arial" w:cs="Arial"/>
          <w:color w:val="000000"/>
          <w:sz w:val="20"/>
          <w:szCs w:val="20"/>
        </w:rPr>
        <w:t>and</w:t>
      </w:r>
      <w:r w:rsidR="00B21614" w:rsidRPr="00BB483A">
        <w:rPr>
          <w:rFonts w:ascii="Arial" w:hAnsi="Arial" w:cs="Arial"/>
          <w:color w:val="000000"/>
          <w:sz w:val="20"/>
          <w:szCs w:val="20"/>
        </w:rPr>
        <w:t xml:space="preserve"> the University invests</w:t>
      </w:r>
      <w:r w:rsidR="00F53FC4" w:rsidRPr="00BB483A">
        <w:rPr>
          <w:rFonts w:ascii="Arial" w:hAnsi="Arial" w:cs="Arial"/>
          <w:color w:val="000000"/>
          <w:sz w:val="20"/>
          <w:szCs w:val="20"/>
        </w:rPr>
        <w:t xml:space="preserve"> </w:t>
      </w:r>
      <w:r w:rsidR="009A00F5" w:rsidRPr="00BB483A">
        <w:rPr>
          <w:rFonts w:ascii="Arial" w:hAnsi="Arial" w:cs="Arial"/>
          <w:color w:val="000000"/>
          <w:sz w:val="20"/>
          <w:szCs w:val="20"/>
        </w:rPr>
        <w:t xml:space="preserve">alongside </w:t>
      </w:r>
      <w:r w:rsidR="00B0766B" w:rsidRPr="00BB483A">
        <w:rPr>
          <w:rFonts w:ascii="Arial" w:hAnsi="Arial" w:cs="Arial"/>
          <w:color w:val="000000"/>
          <w:sz w:val="20"/>
          <w:szCs w:val="20"/>
        </w:rPr>
        <w:t>45</w:t>
      </w:r>
      <w:r w:rsidR="009A00F5" w:rsidRPr="00BB483A">
        <w:rPr>
          <w:rFonts w:ascii="Arial" w:hAnsi="Arial" w:cs="Arial"/>
          <w:color w:val="000000"/>
          <w:sz w:val="20"/>
          <w:szCs w:val="20"/>
        </w:rPr>
        <w:t xml:space="preserve"> other </w:t>
      </w:r>
      <w:r w:rsidR="00D0247A">
        <w:rPr>
          <w:rFonts w:ascii="Arial" w:hAnsi="Arial" w:cs="Arial"/>
          <w:color w:val="000000"/>
          <w:sz w:val="20"/>
          <w:szCs w:val="20"/>
        </w:rPr>
        <w:t xml:space="preserve">institutional </w:t>
      </w:r>
      <w:r w:rsidR="009A00F5" w:rsidRPr="00BB483A">
        <w:rPr>
          <w:rFonts w:ascii="Arial" w:hAnsi="Arial" w:cs="Arial"/>
          <w:color w:val="000000"/>
          <w:sz w:val="20"/>
          <w:szCs w:val="20"/>
        </w:rPr>
        <w:t>investors</w:t>
      </w:r>
      <w:r w:rsidR="004769B3">
        <w:rPr>
          <w:rFonts w:ascii="Arial" w:hAnsi="Arial" w:cs="Arial"/>
          <w:color w:val="000000"/>
          <w:sz w:val="20"/>
          <w:szCs w:val="20"/>
        </w:rPr>
        <w:t xml:space="preserve"> in a unitised vehicle</w:t>
      </w:r>
      <w:r w:rsidR="009A00F5" w:rsidRPr="00BB483A">
        <w:rPr>
          <w:rFonts w:ascii="Arial" w:hAnsi="Arial" w:cs="Arial"/>
          <w:color w:val="000000"/>
          <w:sz w:val="20"/>
          <w:szCs w:val="20"/>
        </w:rPr>
        <w:t>.</w:t>
      </w:r>
      <w:r w:rsidR="00005385" w:rsidRPr="00BB483A">
        <w:rPr>
          <w:rFonts w:ascii="Arial" w:hAnsi="Arial" w:cs="Arial"/>
          <w:color w:val="000000"/>
          <w:sz w:val="20"/>
          <w:szCs w:val="20"/>
        </w:rPr>
        <w:t xml:space="preserve"> </w:t>
      </w:r>
      <w:proofErr w:type="spellStart"/>
      <w:r w:rsidR="004E297D" w:rsidRPr="00BB483A">
        <w:rPr>
          <w:rFonts w:ascii="Arial" w:hAnsi="Arial" w:cs="Arial"/>
          <w:color w:val="000000"/>
          <w:sz w:val="20"/>
          <w:szCs w:val="20"/>
        </w:rPr>
        <w:t>OUem</w:t>
      </w:r>
      <w:proofErr w:type="spellEnd"/>
      <w:r w:rsidR="004E297D" w:rsidRPr="00BB483A">
        <w:rPr>
          <w:rFonts w:ascii="Arial" w:hAnsi="Arial" w:cs="Arial"/>
          <w:color w:val="000000"/>
          <w:sz w:val="20"/>
          <w:szCs w:val="20"/>
        </w:rPr>
        <w:t xml:space="preserve"> reports to the </w:t>
      </w:r>
      <w:r w:rsidR="00160435">
        <w:rPr>
          <w:rFonts w:ascii="Arial" w:hAnsi="Arial" w:cs="Arial"/>
          <w:color w:val="000000"/>
          <w:sz w:val="20"/>
          <w:szCs w:val="20"/>
        </w:rPr>
        <w:t xml:space="preserve">University’s </w:t>
      </w:r>
      <w:r w:rsidR="004E297D" w:rsidRPr="00BB483A">
        <w:rPr>
          <w:rFonts w:ascii="Arial" w:hAnsi="Arial" w:cs="Arial"/>
          <w:color w:val="000000"/>
          <w:sz w:val="20"/>
          <w:szCs w:val="20"/>
        </w:rPr>
        <w:t xml:space="preserve">Investment Committee three times a year and includes a standing item on ESG and sustainability. </w:t>
      </w:r>
      <w:proofErr w:type="spellStart"/>
      <w:r w:rsidR="006966ED" w:rsidRPr="00BB483A">
        <w:rPr>
          <w:rFonts w:ascii="Arial" w:hAnsi="Arial" w:cs="Arial"/>
          <w:color w:val="000000"/>
          <w:sz w:val="20"/>
          <w:szCs w:val="20"/>
        </w:rPr>
        <w:t>OUem</w:t>
      </w:r>
      <w:proofErr w:type="spellEnd"/>
      <w:r w:rsidR="006966ED" w:rsidRPr="00BB483A">
        <w:rPr>
          <w:rFonts w:ascii="Arial" w:hAnsi="Arial" w:cs="Arial"/>
          <w:color w:val="000000"/>
          <w:sz w:val="20"/>
          <w:szCs w:val="20"/>
        </w:rPr>
        <w:t xml:space="preserve"> </w:t>
      </w:r>
      <w:r w:rsidR="004237AB" w:rsidRPr="00BB483A">
        <w:rPr>
          <w:rFonts w:ascii="Arial" w:hAnsi="Arial" w:cs="Arial"/>
          <w:color w:val="000000"/>
          <w:sz w:val="20"/>
          <w:szCs w:val="20"/>
        </w:rPr>
        <w:t xml:space="preserve">also </w:t>
      </w:r>
      <w:r w:rsidR="006966ED" w:rsidRPr="00BB483A">
        <w:rPr>
          <w:rFonts w:ascii="Arial" w:hAnsi="Arial" w:cs="Arial"/>
          <w:color w:val="000000"/>
          <w:sz w:val="20"/>
          <w:szCs w:val="20"/>
        </w:rPr>
        <w:t>reports</w:t>
      </w:r>
      <w:r w:rsidR="004237AB" w:rsidRPr="00BB483A">
        <w:rPr>
          <w:rFonts w:ascii="Arial" w:hAnsi="Arial" w:cs="Arial"/>
          <w:color w:val="000000"/>
          <w:sz w:val="20"/>
          <w:szCs w:val="20"/>
        </w:rPr>
        <w:t xml:space="preserve"> publicly</w:t>
      </w:r>
      <w:r w:rsidR="006966ED" w:rsidRPr="00BB483A">
        <w:rPr>
          <w:rFonts w:ascii="Arial" w:hAnsi="Arial" w:cs="Arial"/>
          <w:color w:val="000000"/>
          <w:sz w:val="20"/>
          <w:szCs w:val="20"/>
        </w:rPr>
        <w:t xml:space="preserve"> on its sustainability in the ESG section of </w:t>
      </w:r>
      <w:hyperlink r:id="rId17" w:history="1">
        <w:r w:rsidR="006966ED" w:rsidRPr="001C0BD4">
          <w:rPr>
            <w:rFonts w:ascii="Arial" w:hAnsi="Arial" w:cs="Arial"/>
            <w:color w:val="000000"/>
            <w:sz w:val="20"/>
            <w:szCs w:val="20"/>
          </w:rPr>
          <w:t>www.ouem.co.uk</w:t>
        </w:r>
      </w:hyperlink>
      <w:r w:rsidR="006966ED" w:rsidRPr="00BB483A">
        <w:rPr>
          <w:rFonts w:ascii="Arial" w:hAnsi="Arial" w:cs="Arial"/>
          <w:color w:val="000000"/>
          <w:sz w:val="20"/>
          <w:szCs w:val="20"/>
        </w:rPr>
        <w:t xml:space="preserve"> and in its Task Force for Climate-Related Financial Disclosures (TCFD)</w:t>
      </w:r>
      <w:r w:rsidR="00802889" w:rsidRPr="00BB483A">
        <w:rPr>
          <w:rFonts w:ascii="Arial" w:hAnsi="Arial" w:cs="Arial"/>
          <w:color w:val="000000"/>
          <w:sz w:val="20"/>
          <w:szCs w:val="20"/>
        </w:rPr>
        <w:t xml:space="preserve"> </w:t>
      </w:r>
      <w:r w:rsidR="0090537E">
        <w:rPr>
          <w:rFonts w:ascii="Arial" w:hAnsi="Arial" w:cs="Arial"/>
          <w:color w:val="000000"/>
          <w:sz w:val="20"/>
          <w:szCs w:val="20"/>
        </w:rPr>
        <w:t xml:space="preserve">and </w:t>
      </w:r>
      <w:r w:rsidR="0090537E" w:rsidRPr="00BB483A">
        <w:rPr>
          <w:rFonts w:ascii="Arial" w:hAnsi="Arial" w:cs="Arial"/>
          <w:color w:val="000000"/>
          <w:sz w:val="20"/>
          <w:szCs w:val="20"/>
        </w:rPr>
        <w:t xml:space="preserve">Task Force for </w:t>
      </w:r>
      <w:r w:rsidR="0090537E">
        <w:rPr>
          <w:rFonts w:ascii="Arial" w:hAnsi="Arial" w:cs="Arial"/>
          <w:color w:val="000000"/>
          <w:sz w:val="20"/>
          <w:szCs w:val="20"/>
        </w:rPr>
        <w:t>Nature</w:t>
      </w:r>
      <w:r w:rsidR="0090537E" w:rsidRPr="00BB483A">
        <w:rPr>
          <w:rFonts w:ascii="Arial" w:hAnsi="Arial" w:cs="Arial"/>
          <w:color w:val="000000"/>
          <w:sz w:val="20"/>
          <w:szCs w:val="20"/>
        </w:rPr>
        <w:t>-Related Financial Disclosures</w:t>
      </w:r>
      <w:r w:rsidR="0090537E">
        <w:rPr>
          <w:rFonts w:ascii="Arial" w:hAnsi="Arial" w:cs="Arial"/>
          <w:color w:val="000000"/>
          <w:sz w:val="20"/>
          <w:szCs w:val="20"/>
        </w:rPr>
        <w:t xml:space="preserve"> (TNFD)</w:t>
      </w:r>
      <w:r w:rsidR="0090537E" w:rsidRPr="00BB483A">
        <w:rPr>
          <w:rFonts w:ascii="Arial" w:hAnsi="Arial" w:cs="Arial"/>
          <w:color w:val="000000"/>
          <w:sz w:val="20"/>
          <w:szCs w:val="20"/>
        </w:rPr>
        <w:t xml:space="preserve"> </w:t>
      </w:r>
      <w:r w:rsidR="00802889" w:rsidRPr="00BB483A">
        <w:rPr>
          <w:rFonts w:ascii="Arial" w:hAnsi="Arial" w:cs="Arial"/>
          <w:color w:val="000000"/>
          <w:sz w:val="20"/>
          <w:szCs w:val="20"/>
        </w:rPr>
        <w:t>report</w:t>
      </w:r>
      <w:r w:rsidR="006966ED" w:rsidRPr="00BB483A">
        <w:rPr>
          <w:rFonts w:ascii="Arial" w:hAnsi="Arial" w:cs="Arial"/>
          <w:color w:val="000000"/>
          <w:sz w:val="20"/>
          <w:szCs w:val="20"/>
        </w:rPr>
        <w:t xml:space="preserve">. </w:t>
      </w:r>
    </w:p>
    <w:p w14:paraId="647E698F" w14:textId="77777777" w:rsidR="00160435" w:rsidRDefault="00160435" w:rsidP="00160435">
      <w:pPr>
        <w:pStyle w:val="NormalWeb"/>
        <w:shd w:val="clear" w:color="auto" w:fill="FFFFFF"/>
        <w:rPr>
          <w:rFonts w:ascii="Arial" w:hAnsi="Arial" w:cs="Arial"/>
          <w:color w:val="000000"/>
          <w:sz w:val="20"/>
          <w:szCs w:val="20"/>
        </w:rPr>
      </w:pPr>
    </w:p>
    <w:p w14:paraId="2740653D" w14:textId="172F1177" w:rsidR="00160435" w:rsidRDefault="00AA44D0" w:rsidP="00160435">
      <w:pPr>
        <w:pStyle w:val="NormalWeb"/>
        <w:shd w:val="clear" w:color="auto" w:fill="FFFFFF"/>
        <w:rPr>
          <w:rFonts w:ascii="Arial" w:hAnsi="Arial" w:cs="Arial"/>
          <w:color w:val="000000"/>
          <w:sz w:val="20"/>
          <w:szCs w:val="20"/>
        </w:rPr>
      </w:pPr>
      <w:r>
        <w:rPr>
          <w:rFonts w:ascii="Arial" w:hAnsi="Arial" w:cs="Arial"/>
          <w:color w:val="000000"/>
          <w:sz w:val="20"/>
          <w:szCs w:val="20"/>
        </w:rPr>
        <w:t>a) Voting</w:t>
      </w:r>
    </w:p>
    <w:p w14:paraId="35C41FA1" w14:textId="77777777" w:rsidR="00112A7D" w:rsidRDefault="00112A7D" w:rsidP="00BB483A">
      <w:pPr>
        <w:pStyle w:val="NormalWeb"/>
        <w:shd w:val="clear" w:color="auto" w:fill="FFFFFF"/>
        <w:rPr>
          <w:rFonts w:ascii="Arial" w:hAnsi="Arial" w:cs="Arial"/>
          <w:color w:val="000000"/>
          <w:sz w:val="20"/>
          <w:szCs w:val="20"/>
        </w:rPr>
      </w:pPr>
    </w:p>
    <w:p w14:paraId="3DA5E79A" w14:textId="398F6BF4" w:rsidR="00AA44D0" w:rsidRDefault="00462CD7" w:rsidP="00AA44D0">
      <w:pPr>
        <w:pStyle w:val="NormalWeb"/>
        <w:shd w:val="clear" w:color="auto" w:fill="FFFFFF"/>
        <w:rPr>
          <w:rFonts w:ascii="Arial" w:hAnsi="Arial" w:cs="Arial"/>
          <w:color w:val="000000"/>
          <w:sz w:val="20"/>
          <w:szCs w:val="20"/>
        </w:rPr>
      </w:pPr>
      <w:r w:rsidRPr="0099614E">
        <w:rPr>
          <w:rFonts w:ascii="Arial" w:hAnsi="Arial" w:cs="Arial"/>
          <w:color w:val="000000"/>
          <w:sz w:val="20"/>
          <w:szCs w:val="20"/>
        </w:rPr>
        <w:t xml:space="preserve">The OEF predominantly owns investments </w:t>
      </w:r>
      <w:r w:rsidR="00A65D70">
        <w:rPr>
          <w:rFonts w:ascii="Arial" w:hAnsi="Arial" w:cs="Arial"/>
          <w:color w:val="000000"/>
          <w:sz w:val="20"/>
          <w:szCs w:val="20"/>
        </w:rPr>
        <w:t xml:space="preserve">in pooled funds </w:t>
      </w:r>
      <w:r w:rsidR="000C17D6">
        <w:rPr>
          <w:rFonts w:ascii="Arial" w:hAnsi="Arial" w:cs="Arial"/>
          <w:color w:val="000000"/>
          <w:sz w:val="20"/>
          <w:szCs w:val="20"/>
        </w:rPr>
        <w:t>managed by third parties</w:t>
      </w:r>
      <w:r>
        <w:rPr>
          <w:rFonts w:ascii="Arial" w:hAnsi="Arial" w:cs="Arial"/>
          <w:color w:val="000000"/>
          <w:sz w:val="20"/>
          <w:szCs w:val="20"/>
        </w:rPr>
        <w:t xml:space="preserve">, </w:t>
      </w:r>
      <w:r w:rsidRPr="0099614E">
        <w:rPr>
          <w:rFonts w:ascii="Arial" w:hAnsi="Arial" w:cs="Arial"/>
          <w:color w:val="000000"/>
          <w:sz w:val="20"/>
          <w:szCs w:val="20"/>
        </w:rPr>
        <w:t xml:space="preserve">hence engagement activities are carried out with investment groups, rather than through voting. Understanding a manager’s approach to engagement is a key area of their due diligence and ongoing evaluation.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will enact any voting rights ascribed</w:t>
      </w:r>
      <w:r w:rsidR="004435D5" w:rsidRPr="0099614E">
        <w:rPr>
          <w:rFonts w:ascii="Arial" w:hAnsi="Arial" w:cs="Arial"/>
          <w:color w:val="000000"/>
          <w:sz w:val="20"/>
          <w:szCs w:val="20"/>
        </w:rPr>
        <w:t xml:space="preserve"> </w:t>
      </w:r>
      <w:r w:rsidRPr="0099614E">
        <w:rPr>
          <w:rFonts w:ascii="Arial" w:hAnsi="Arial" w:cs="Arial"/>
          <w:color w:val="000000"/>
          <w:sz w:val="20"/>
          <w:szCs w:val="20"/>
        </w:rPr>
        <w:t xml:space="preserve">under </w:t>
      </w:r>
      <w:r w:rsidR="00AA44D0" w:rsidRPr="0099614E">
        <w:rPr>
          <w:rFonts w:ascii="Arial" w:hAnsi="Arial" w:cs="Arial"/>
          <w:color w:val="000000"/>
          <w:sz w:val="20"/>
          <w:szCs w:val="20"/>
        </w:rPr>
        <w:t>the ownership structure.</w:t>
      </w:r>
    </w:p>
    <w:p w14:paraId="14F3004F" w14:textId="77777777" w:rsidR="00462CD7" w:rsidRPr="0099614E" w:rsidRDefault="00462CD7" w:rsidP="00AA44D0">
      <w:pPr>
        <w:pStyle w:val="NormalWeb"/>
        <w:shd w:val="clear" w:color="auto" w:fill="FFFFFF"/>
        <w:rPr>
          <w:rFonts w:ascii="Arial" w:hAnsi="Arial" w:cs="Arial"/>
          <w:color w:val="000000"/>
          <w:sz w:val="20"/>
          <w:szCs w:val="20"/>
        </w:rPr>
      </w:pPr>
    </w:p>
    <w:p w14:paraId="20B2CDFF" w14:textId="1D3B21EA" w:rsidR="008F4354" w:rsidRPr="0099614E" w:rsidRDefault="00462CD7" w:rsidP="00AA44D0">
      <w:pPr>
        <w:pStyle w:val="NormalWeb"/>
        <w:shd w:val="clear" w:color="auto" w:fill="FFFFFF"/>
        <w:rPr>
          <w:rFonts w:ascii="Arial" w:hAnsi="Arial" w:cs="Arial"/>
          <w:color w:val="000000"/>
          <w:sz w:val="20"/>
          <w:szCs w:val="20"/>
        </w:rPr>
      </w:pP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is a member of the Investor Forum, an organisation established to</w:t>
      </w:r>
      <w:r w:rsidR="004435D5" w:rsidRPr="0099614E">
        <w:rPr>
          <w:rFonts w:ascii="Arial" w:hAnsi="Arial" w:cs="Arial"/>
          <w:color w:val="000000"/>
          <w:sz w:val="20"/>
          <w:szCs w:val="20"/>
        </w:rPr>
        <w:t xml:space="preserve"> </w:t>
      </w:r>
      <w:r w:rsidRPr="0099614E">
        <w:rPr>
          <w:rFonts w:ascii="Arial" w:hAnsi="Arial" w:cs="Arial"/>
          <w:color w:val="000000"/>
          <w:sz w:val="20"/>
          <w:szCs w:val="20"/>
        </w:rPr>
        <w:t>facilitate collective engagement between institutional investors and UK listed</w:t>
      </w:r>
      <w:r w:rsidR="004435D5" w:rsidRPr="0099614E">
        <w:rPr>
          <w:rFonts w:ascii="Arial" w:hAnsi="Arial" w:cs="Arial"/>
          <w:color w:val="000000"/>
          <w:sz w:val="20"/>
          <w:szCs w:val="20"/>
        </w:rPr>
        <w:t xml:space="preserve"> </w:t>
      </w:r>
      <w:r w:rsidRPr="0099614E">
        <w:rPr>
          <w:rFonts w:ascii="Arial" w:hAnsi="Arial" w:cs="Arial"/>
          <w:color w:val="000000"/>
          <w:sz w:val="20"/>
          <w:szCs w:val="20"/>
        </w:rPr>
        <w:t>companies, to encourage good stewardship of public companies.</w:t>
      </w:r>
    </w:p>
    <w:p w14:paraId="186EC5C5" w14:textId="694F9FEA" w:rsidR="00DA6012" w:rsidRDefault="00DA6012" w:rsidP="004160DA">
      <w:pPr>
        <w:pStyle w:val="ListParagraph"/>
        <w:numPr>
          <w:ilvl w:val="0"/>
          <w:numId w:val="16"/>
        </w:numPr>
        <w:spacing w:before="120" w:after="120"/>
        <w:ind w:left="426" w:hanging="426"/>
        <w:rPr>
          <w:rFonts w:ascii="Arial" w:hAnsi="Arial" w:cs="Arial"/>
          <w:sz w:val="20"/>
          <w:szCs w:val="20"/>
        </w:rPr>
      </w:pPr>
      <w:r>
        <w:rPr>
          <w:rFonts w:ascii="Arial" w:hAnsi="Arial" w:cs="Arial"/>
          <w:sz w:val="20"/>
          <w:szCs w:val="20"/>
        </w:rPr>
        <w:t>C</w:t>
      </w:r>
      <w:r w:rsidRPr="0009332D">
        <w:rPr>
          <w:rFonts w:ascii="Arial" w:hAnsi="Arial" w:cs="Arial"/>
          <w:sz w:val="20"/>
          <w:szCs w:val="20"/>
        </w:rPr>
        <w:t xml:space="preserve">ompliance with specific ethical restrictions </w:t>
      </w:r>
    </w:p>
    <w:p w14:paraId="5199325D" w14:textId="0C3198FB" w:rsidR="00CD5E6A" w:rsidRDefault="000333DA" w:rsidP="006E3135">
      <w:pPr>
        <w:pStyle w:val="BodyText"/>
        <w:rPr>
          <w:rFonts w:ascii="Arial" w:hAnsi="Arial" w:cs="Arial"/>
          <w:sz w:val="20"/>
          <w:szCs w:val="20"/>
        </w:rPr>
      </w:pPr>
      <w:r w:rsidRPr="004C279F">
        <w:rPr>
          <w:rFonts w:ascii="Arial" w:hAnsi="Arial" w:cs="Arial"/>
          <w:color w:val="000000"/>
          <w:sz w:val="20"/>
          <w:szCs w:val="20"/>
        </w:rPr>
        <w:t xml:space="preserve">The </w:t>
      </w:r>
      <w:r w:rsidR="003B3346" w:rsidRPr="004C279F">
        <w:rPr>
          <w:rFonts w:ascii="Arial" w:hAnsi="Arial" w:cs="Arial"/>
          <w:color w:val="000000"/>
          <w:sz w:val="20"/>
          <w:szCs w:val="20"/>
        </w:rPr>
        <w:t xml:space="preserve">governing documents of the </w:t>
      </w:r>
      <w:r w:rsidRPr="004C279F">
        <w:rPr>
          <w:rFonts w:ascii="Arial" w:hAnsi="Arial" w:cs="Arial"/>
          <w:color w:val="000000"/>
          <w:sz w:val="20"/>
          <w:szCs w:val="20"/>
        </w:rPr>
        <w:t xml:space="preserve">Oxford Endowment Fund </w:t>
      </w:r>
      <w:r w:rsidR="00E257C2" w:rsidRPr="004C279F">
        <w:rPr>
          <w:rFonts w:ascii="Arial" w:hAnsi="Arial" w:cs="Arial"/>
          <w:color w:val="000000"/>
          <w:sz w:val="20"/>
          <w:szCs w:val="20"/>
        </w:rPr>
        <w:t xml:space="preserve">prohibits direct investment in </w:t>
      </w:r>
      <w:r w:rsidR="00D91303" w:rsidRPr="004C279F">
        <w:rPr>
          <w:rFonts w:ascii="Arial" w:hAnsi="Arial" w:cs="Arial"/>
          <w:color w:val="000000"/>
          <w:sz w:val="20"/>
          <w:szCs w:val="20"/>
        </w:rPr>
        <w:t>4 (c) above.</w:t>
      </w:r>
      <w:r w:rsidR="00093234" w:rsidRPr="004C279F">
        <w:rPr>
          <w:rFonts w:ascii="Arial" w:hAnsi="Arial" w:cs="Arial"/>
          <w:color w:val="000000"/>
          <w:sz w:val="20"/>
          <w:szCs w:val="20"/>
        </w:rPr>
        <w:t xml:space="preserve"> </w:t>
      </w:r>
      <w:proofErr w:type="spellStart"/>
      <w:r w:rsidR="00093234" w:rsidRPr="004C279F">
        <w:rPr>
          <w:rFonts w:ascii="Arial" w:hAnsi="Arial" w:cs="Arial"/>
          <w:color w:val="000000"/>
          <w:sz w:val="20"/>
          <w:szCs w:val="20"/>
        </w:rPr>
        <w:t>OUem</w:t>
      </w:r>
      <w:proofErr w:type="spellEnd"/>
      <w:r w:rsidR="00093234" w:rsidRPr="004C279F">
        <w:rPr>
          <w:rFonts w:ascii="Arial" w:hAnsi="Arial" w:cs="Arial"/>
          <w:color w:val="000000"/>
          <w:sz w:val="20"/>
          <w:szCs w:val="20"/>
        </w:rPr>
        <w:t xml:space="preserve"> </w:t>
      </w:r>
      <w:r w:rsidR="000B5F04" w:rsidRPr="004C279F">
        <w:rPr>
          <w:rFonts w:ascii="Arial" w:hAnsi="Arial" w:cs="Arial"/>
          <w:color w:val="000000"/>
          <w:sz w:val="20"/>
          <w:szCs w:val="20"/>
        </w:rPr>
        <w:t xml:space="preserve">as the investment manager of the fund, </w:t>
      </w:r>
      <w:r w:rsidR="00093234" w:rsidRPr="004C279F">
        <w:rPr>
          <w:rFonts w:ascii="Arial" w:hAnsi="Arial" w:cs="Arial"/>
          <w:color w:val="000000"/>
          <w:sz w:val="20"/>
          <w:szCs w:val="20"/>
        </w:rPr>
        <w:t>confirms compliance with these restrictions</w:t>
      </w:r>
      <w:r w:rsidR="00AD0006" w:rsidRPr="004C279F">
        <w:rPr>
          <w:rFonts w:ascii="Arial" w:hAnsi="Arial" w:cs="Arial"/>
          <w:color w:val="000000"/>
          <w:sz w:val="20"/>
          <w:szCs w:val="20"/>
        </w:rPr>
        <w:t xml:space="preserve"> regularly to </w:t>
      </w:r>
      <w:r w:rsidR="00E44630" w:rsidRPr="004C279F">
        <w:rPr>
          <w:rFonts w:ascii="Arial" w:hAnsi="Arial" w:cs="Arial"/>
          <w:color w:val="000000"/>
          <w:sz w:val="20"/>
          <w:szCs w:val="20"/>
        </w:rPr>
        <w:t>all investors</w:t>
      </w:r>
      <w:r w:rsidR="005F612F" w:rsidRPr="004C279F">
        <w:rPr>
          <w:rFonts w:ascii="Arial" w:hAnsi="Arial" w:cs="Arial"/>
          <w:color w:val="000000"/>
          <w:sz w:val="20"/>
          <w:szCs w:val="20"/>
        </w:rPr>
        <w:t>. T</w:t>
      </w:r>
      <w:r w:rsidR="00136A48" w:rsidRPr="004C279F">
        <w:rPr>
          <w:rFonts w:ascii="Arial" w:hAnsi="Arial" w:cs="Arial"/>
          <w:color w:val="000000"/>
          <w:sz w:val="20"/>
          <w:szCs w:val="20"/>
        </w:rPr>
        <w:t>here are no direct investments in prohibited areas</w:t>
      </w:r>
      <w:r w:rsidR="0064661F" w:rsidRPr="004C279F">
        <w:rPr>
          <w:rFonts w:ascii="Arial" w:hAnsi="Arial" w:cs="Arial"/>
          <w:color w:val="000000"/>
          <w:sz w:val="20"/>
          <w:szCs w:val="20"/>
        </w:rPr>
        <w:t xml:space="preserve"> and no </w:t>
      </w:r>
      <w:r w:rsidR="00A63BBF" w:rsidRPr="004C279F">
        <w:rPr>
          <w:rFonts w:ascii="Arial" w:hAnsi="Arial" w:cs="Arial"/>
          <w:sz w:val="20"/>
          <w:szCs w:val="20"/>
        </w:rPr>
        <w:t>indirect exposure to weapons illegal under U.K. law</w:t>
      </w:r>
      <w:r w:rsidR="00F34AD3">
        <w:rPr>
          <w:rFonts w:ascii="Arial" w:hAnsi="Arial" w:cs="Arial"/>
          <w:sz w:val="20"/>
          <w:szCs w:val="20"/>
        </w:rPr>
        <w:t>. At 31 December 2024, the OEF had 0.1% indirect exposure to tobacco companies</w:t>
      </w:r>
      <w:r w:rsidR="005A4290" w:rsidDel="002A7968">
        <w:rPr>
          <w:rFonts w:ascii="Arial" w:hAnsi="Arial" w:cs="Arial"/>
          <w:sz w:val="20"/>
          <w:szCs w:val="20"/>
        </w:rPr>
        <w:t>.</w:t>
      </w:r>
      <w:r w:rsidR="0064661F" w:rsidRPr="004C279F" w:rsidDel="00ED6186">
        <w:rPr>
          <w:rFonts w:ascii="Arial" w:hAnsi="Arial" w:cs="Arial"/>
          <w:sz w:val="20"/>
          <w:szCs w:val="20"/>
        </w:rPr>
        <w:t xml:space="preserve"> </w:t>
      </w:r>
      <w:r w:rsidR="004A2BE8" w:rsidRPr="004C279F">
        <w:rPr>
          <w:rFonts w:ascii="Arial" w:hAnsi="Arial" w:cs="Arial"/>
          <w:sz w:val="20"/>
          <w:szCs w:val="20"/>
        </w:rPr>
        <w:t xml:space="preserve">See </w:t>
      </w:r>
      <w:r w:rsidR="00F2675A" w:rsidRPr="004C279F">
        <w:rPr>
          <w:rFonts w:ascii="Arial" w:hAnsi="Arial" w:cs="Arial"/>
          <w:sz w:val="20"/>
          <w:szCs w:val="20"/>
        </w:rPr>
        <w:t>(</w:t>
      </w:r>
      <w:r w:rsidR="00492449">
        <w:rPr>
          <w:rFonts w:ascii="Arial" w:hAnsi="Arial" w:cs="Arial"/>
          <w:sz w:val="20"/>
          <w:szCs w:val="20"/>
        </w:rPr>
        <w:t>c</w:t>
      </w:r>
      <w:r w:rsidR="00F2675A" w:rsidRPr="004C279F">
        <w:rPr>
          <w:rFonts w:ascii="Arial" w:hAnsi="Arial" w:cs="Arial"/>
          <w:sz w:val="20"/>
          <w:szCs w:val="20"/>
        </w:rPr>
        <w:t>)</w:t>
      </w:r>
      <w:r w:rsidR="00AB5082" w:rsidRPr="004C279F">
        <w:rPr>
          <w:rFonts w:ascii="Arial" w:hAnsi="Arial" w:cs="Arial"/>
          <w:sz w:val="20"/>
          <w:szCs w:val="20"/>
        </w:rPr>
        <w:t xml:space="preserve"> below re Fossil Fuels. </w:t>
      </w:r>
    </w:p>
    <w:p w14:paraId="0BFA8708" w14:textId="77777777" w:rsidR="00702C4A" w:rsidRPr="005240BF" w:rsidRDefault="00702C4A" w:rsidP="00FB1869">
      <w:pPr>
        <w:pStyle w:val="ListParagraph"/>
        <w:numPr>
          <w:ilvl w:val="0"/>
          <w:numId w:val="16"/>
        </w:numPr>
        <w:spacing w:before="120" w:after="120"/>
        <w:ind w:left="426" w:hanging="426"/>
        <w:rPr>
          <w:rFonts w:ascii="Arial" w:hAnsi="Arial" w:cs="Arial"/>
          <w:sz w:val="20"/>
          <w:szCs w:val="20"/>
        </w:rPr>
      </w:pPr>
      <w:r w:rsidRPr="005240BF">
        <w:rPr>
          <w:rFonts w:ascii="Arial" w:hAnsi="Arial" w:cs="Arial"/>
          <w:sz w:val="20"/>
          <w:szCs w:val="20"/>
        </w:rPr>
        <w:t xml:space="preserve">Review of any remaining fossil fuel investments for evidence of Paris- and IPCC-aligned hard net zero plans. </w:t>
      </w:r>
    </w:p>
    <w:p w14:paraId="0818B910" w14:textId="4F21B476" w:rsidR="00D33BB4" w:rsidRPr="00D33BB4" w:rsidRDefault="00D33BB4" w:rsidP="00D33BB4">
      <w:pPr>
        <w:spacing w:before="120" w:after="120" w:line="240" w:lineRule="auto"/>
        <w:rPr>
          <w:rFonts w:ascii="Arial" w:hAnsi="Arial" w:cs="Arial"/>
          <w:color w:val="000000"/>
          <w:sz w:val="20"/>
          <w:szCs w:val="20"/>
        </w:rPr>
      </w:pPr>
      <w:r w:rsidRPr="00D33BB4">
        <w:rPr>
          <w:rFonts w:ascii="Arial" w:hAnsi="Arial" w:cs="Arial"/>
          <w:color w:val="000000"/>
          <w:sz w:val="20"/>
          <w:szCs w:val="20"/>
        </w:rPr>
        <w:t>The OEF’s exposure to fossil fuels is approximately 0.</w:t>
      </w:r>
      <w:r w:rsidR="005A4290">
        <w:rPr>
          <w:rFonts w:ascii="Arial" w:hAnsi="Arial" w:cs="Arial"/>
          <w:color w:val="000000"/>
          <w:sz w:val="20"/>
          <w:szCs w:val="20"/>
        </w:rPr>
        <w:t>2</w:t>
      </w:r>
      <w:r w:rsidRPr="00D33BB4">
        <w:rPr>
          <w:rFonts w:ascii="Arial" w:hAnsi="Arial" w:cs="Arial"/>
          <w:color w:val="000000"/>
          <w:sz w:val="20"/>
          <w:szCs w:val="20"/>
        </w:rPr>
        <w:t>% through a range of liquidating older private funds</w:t>
      </w:r>
      <w:r w:rsidRPr="00D33BB4" w:rsidDel="00FC3F4C">
        <w:rPr>
          <w:rFonts w:ascii="Arial" w:hAnsi="Arial" w:cs="Arial"/>
          <w:color w:val="000000"/>
          <w:sz w:val="20"/>
          <w:szCs w:val="20"/>
        </w:rPr>
        <w:t xml:space="preserve"> </w:t>
      </w:r>
      <w:r w:rsidRPr="00D33BB4">
        <w:rPr>
          <w:rFonts w:ascii="Arial" w:hAnsi="Arial" w:cs="Arial"/>
          <w:color w:val="000000"/>
          <w:sz w:val="20"/>
          <w:szCs w:val="20"/>
        </w:rPr>
        <w:t xml:space="preserve">and </w:t>
      </w:r>
      <w:r w:rsidR="00A50475">
        <w:rPr>
          <w:rFonts w:ascii="Arial" w:hAnsi="Arial" w:cs="Arial"/>
          <w:color w:val="000000"/>
          <w:sz w:val="20"/>
          <w:szCs w:val="20"/>
        </w:rPr>
        <w:t xml:space="preserve">funds investing in </w:t>
      </w:r>
      <w:r w:rsidRPr="00D33BB4">
        <w:rPr>
          <w:rFonts w:ascii="Arial" w:hAnsi="Arial" w:cs="Arial"/>
          <w:color w:val="000000"/>
          <w:sz w:val="20"/>
          <w:szCs w:val="20"/>
        </w:rPr>
        <w:t>a variety of credit instruments.</w:t>
      </w:r>
    </w:p>
    <w:p w14:paraId="742AA56A" w14:textId="427CB0E9" w:rsidR="00624AFD" w:rsidRPr="00026F8F" w:rsidRDefault="00624AFD" w:rsidP="00FB1869">
      <w:pPr>
        <w:pStyle w:val="ListParagraph"/>
        <w:numPr>
          <w:ilvl w:val="0"/>
          <w:numId w:val="16"/>
        </w:numPr>
        <w:spacing w:before="120" w:after="120"/>
        <w:ind w:left="426" w:hanging="426"/>
        <w:rPr>
          <w:rFonts w:ascii="Arial" w:hAnsi="Arial" w:cs="Arial"/>
          <w:sz w:val="20"/>
          <w:szCs w:val="20"/>
        </w:rPr>
      </w:pPr>
      <w:proofErr w:type="spellStart"/>
      <w:r w:rsidRPr="00026F8F">
        <w:rPr>
          <w:rFonts w:ascii="Arial" w:hAnsi="Arial" w:cs="Arial"/>
          <w:sz w:val="20"/>
          <w:szCs w:val="20"/>
        </w:rPr>
        <w:t>OUem’s</w:t>
      </w:r>
      <w:proofErr w:type="spellEnd"/>
      <w:r w:rsidRPr="00026F8F">
        <w:rPr>
          <w:rFonts w:ascii="Arial" w:hAnsi="Arial" w:cs="Arial"/>
          <w:sz w:val="20"/>
          <w:szCs w:val="20"/>
        </w:rPr>
        <w:t xml:space="preserve"> progress on communicating a restriction to fund managers which may hold fossil fuel companies</w:t>
      </w:r>
      <w:r w:rsidR="001A28B1">
        <w:rPr>
          <w:rFonts w:ascii="Arial" w:hAnsi="Arial" w:cs="Arial"/>
          <w:sz w:val="20"/>
          <w:szCs w:val="20"/>
        </w:rPr>
        <w:t>.</w:t>
      </w:r>
    </w:p>
    <w:p w14:paraId="2F8DBBF2" w14:textId="31FDFA72" w:rsidR="00D57D63" w:rsidRDefault="00D57D63" w:rsidP="00D57D63">
      <w:pPr>
        <w:pStyle w:val="NormalWeb"/>
        <w:shd w:val="clear" w:color="auto" w:fill="FFFFFF"/>
        <w:rPr>
          <w:rFonts w:ascii="Arial" w:hAnsi="Arial" w:cs="Arial"/>
          <w:color w:val="000000"/>
          <w:sz w:val="20"/>
          <w:szCs w:val="20"/>
        </w:rPr>
      </w:pP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communicates the restriction to investment groups</w:t>
      </w:r>
      <w:r w:rsidR="005C79EB">
        <w:rPr>
          <w:rFonts w:ascii="Arial" w:hAnsi="Arial" w:cs="Arial"/>
          <w:color w:val="000000"/>
          <w:sz w:val="20"/>
          <w:szCs w:val="20"/>
        </w:rPr>
        <w:t xml:space="preserve"> annually</w:t>
      </w:r>
      <w:r w:rsidRPr="0099614E">
        <w:rPr>
          <w:rFonts w:ascii="Arial" w:hAnsi="Arial" w:cs="Arial"/>
          <w:color w:val="000000"/>
          <w:sz w:val="20"/>
          <w:szCs w:val="20"/>
        </w:rPr>
        <w:t xml:space="preserve">, and requests that they avoid investing in fossil fuels, both prior to investing and throughout the lifetime of the investment. </w:t>
      </w:r>
      <w:proofErr w:type="spellStart"/>
      <w:r w:rsidR="00103867" w:rsidRPr="0099614E">
        <w:rPr>
          <w:rFonts w:ascii="Arial" w:hAnsi="Arial" w:cs="Arial"/>
          <w:color w:val="000000"/>
          <w:sz w:val="20"/>
          <w:szCs w:val="20"/>
        </w:rPr>
        <w:t>OUem’s</w:t>
      </w:r>
      <w:proofErr w:type="spellEnd"/>
      <w:r w:rsidR="00103867" w:rsidRPr="0099614E">
        <w:rPr>
          <w:rFonts w:ascii="Arial" w:hAnsi="Arial" w:cs="Arial"/>
          <w:color w:val="000000"/>
          <w:sz w:val="20"/>
          <w:szCs w:val="20"/>
        </w:rPr>
        <w:t xml:space="preserve"> active approach to investment management and </w:t>
      </w:r>
      <w:proofErr w:type="gramStart"/>
      <w:r w:rsidR="00103867" w:rsidRPr="0099614E">
        <w:rPr>
          <w:rFonts w:ascii="Arial" w:hAnsi="Arial" w:cs="Arial"/>
          <w:color w:val="000000"/>
          <w:sz w:val="20"/>
          <w:szCs w:val="20"/>
        </w:rPr>
        <w:t>long term</w:t>
      </w:r>
      <w:proofErr w:type="gramEnd"/>
      <w:r w:rsidR="00103867" w:rsidRPr="0099614E">
        <w:rPr>
          <w:rFonts w:ascii="Arial" w:hAnsi="Arial" w:cs="Arial"/>
          <w:color w:val="000000"/>
          <w:sz w:val="20"/>
          <w:szCs w:val="20"/>
        </w:rPr>
        <w:t xml:space="preserve"> themes such as resource efficiency means the investment </w:t>
      </w:r>
      <w:proofErr w:type="gramStart"/>
      <w:r w:rsidR="00103867" w:rsidRPr="0099614E">
        <w:rPr>
          <w:rFonts w:ascii="Arial" w:hAnsi="Arial" w:cs="Arial"/>
          <w:color w:val="000000"/>
          <w:sz w:val="20"/>
          <w:szCs w:val="20"/>
        </w:rPr>
        <w:t>groups</w:t>
      </w:r>
      <w:proofErr w:type="gramEnd"/>
      <w:r w:rsidR="00103867" w:rsidRPr="0099614E">
        <w:rPr>
          <w:rFonts w:ascii="Arial" w:hAnsi="Arial" w:cs="Arial"/>
          <w:color w:val="000000"/>
          <w:sz w:val="20"/>
          <w:szCs w:val="20"/>
        </w:rPr>
        <w:t xml:space="preserve"> they work with often have minimal exposure to fossil fuel companies. </w:t>
      </w:r>
    </w:p>
    <w:p w14:paraId="46B1F006" w14:textId="77777777" w:rsidR="008E3265" w:rsidRDefault="008E3265" w:rsidP="00D57D63">
      <w:pPr>
        <w:pStyle w:val="NormalWeb"/>
        <w:shd w:val="clear" w:color="auto" w:fill="FFFFFF"/>
        <w:rPr>
          <w:rFonts w:ascii="Arial" w:hAnsi="Arial" w:cs="Arial"/>
          <w:color w:val="000000"/>
          <w:sz w:val="20"/>
          <w:szCs w:val="20"/>
        </w:rPr>
      </w:pPr>
    </w:p>
    <w:p w14:paraId="0BBB6492" w14:textId="77777777" w:rsidR="002442D0" w:rsidRPr="009B7337" w:rsidRDefault="002442D0" w:rsidP="002442D0">
      <w:pPr>
        <w:pStyle w:val="ListParagraph"/>
        <w:numPr>
          <w:ilvl w:val="0"/>
          <w:numId w:val="16"/>
        </w:numPr>
        <w:spacing w:before="120" w:after="120"/>
        <w:ind w:left="426" w:hanging="426"/>
        <w:rPr>
          <w:rFonts w:ascii="Arial" w:hAnsi="Arial" w:cs="Arial"/>
          <w:sz w:val="20"/>
          <w:szCs w:val="20"/>
        </w:rPr>
      </w:pPr>
      <w:proofErr w:type="spellStart"/>
      <w:r w:rsidRPr="009B7337">
        <w:rPr>
          <w:rFonts w:ascii="Arial" w:hAnsi="Arial" w:cs="Arial"/>
          <w:sz w:val="20"/>
          <w:szCs w:val="20"/>
        </w:rPr>
        <w:t>OUem</w:t>
      </w:r>
      <w:proofErr w:type="spellEnd"/>
      <w:r w:rsidRPr="009B7337">
        <w:rPr>
          <w:rFonts w:ascii="Arial" w:hAnsi="Arial" w:cs="Arial"/>
          <w:sz w:val="20"/>
          <w:szCs w:val="20"/>
        </w:rPr>
        <w:t xml:space="preserve"> report on their actions in the event a fund manager continues to own fossil fuel companies which do not have a net zero plan. </w:t>
      </w:r>
    </w:p>
    <w:p w14:paraId="6CBC2817" w14:textId="4EC0D701" w:rsidR="00F112C5" w:rsidRDefault="006A392C" w:rsidP="00F112C5">
      <w:pPr>
        <w:spacing w:before="120" w:after="120" w:line="240" w:lineRule="auto"/>
        <w:rPr>
          <w:rFonts w:ascii="Arial" w:hAnsi="Arial" w:cs="Arial"/>
          <w:color w:val="000000"/>
          <w:sz w:val="20"/>
          <w:szCs w:val="20"/>
        </w:rPr>
      </w:pPr>
      <w:r w:rsidRPr="00B67779">
        <w:rPr>
          <w:rFonts w:ascii="Arial" w:hAnsi="Arial" w:cs="Arial"/>
          <w:sz w:val="20"/>
          <w:szCs w:val="20"/>
        </w:rPr>
        <w:t>The Oxford Endowment Fund</w:t>
      </w:r>
      <w:r w:rsidRPr="00B67779">
        <w:rPr>
          <w:rFonts w:ascii="Arial" w:hAnsi="Arial" w:cs="Arial"/>
          <w:color w:val="000000"/>
          <w:sz w:val="20"/>
          <w:szCs w:val="20"/>
        </w:rPr>
        <w:t xml:space="preserve"> predominantly owns units in third party funds; </w:t>
      </w:r>
      <w:proofErr w:type="gramStart"/>
      <w:r w:rsidRPr="00B67779">
        <w:rPr>
          <w:rFonts w:ascii="Arial" w:hAnsi="Arial" w:cs="Arial"/>
          <w:color w:val="000000"/>
          <w:sz w:val="20"/>
          <w:szCs w:val="20"/>
        </w:rPr>
        <w:t>therefore</w:t>
      </w:r>
      <w:proofErr w:type="gramEnd"/>
      <w:r w:rsidRPr="00B67779">
        <w:rPr>
          <w:rFonts w:ascii="Arial" w:hAnsi="Arial" w:cs="Arial"/>
          <w:color w:val="000000"/>
          <w:sz w:val="20"/>
          <w:szCs w:val="20"/>
        </w:rPr>
        <w:t xml:space="preserve"> all engagement activities are carried out by </w:t>
      </w:r>
      <w:proofErr w:type="spellStart"/>
      <w:r w:rsidRPr="00B67779">
        <w:rPr>
          <w:rFonts w:ascii="Arial" w:hAnsi="Arial" w:cs="Arial"/>
          <w:color w:val="000000"/>
          <w:sz w:val="20"/>
          <w:szCs w:val="20"/>
        </w:rPr>
        <w:t>OUem</w:t>
      </w:r>
      <w:proofErr w:type="spellEnd"/>
      <w:r w:rsidRPr="00B67779">
        <w:rPr>
          <w:rFonts w:ascii="Arial" w:hAnsi="Arial" w:cs="Arial"/>
          <w:color w:val="000000"/>
          <w:sz w:val="20"/>
          <w:szCs w:val="20"/>
        </w:rPr>
        <w:t xml:space="preserve"> at the investment manager level. Understanding a manager’s approach to ESG Risk Management and in particular climate change is one of their key areas of due diligence and ongoing evaluation. Alongside regular dialogue with investment groups, </w:t>
      </w:r>
      <w:proofErr w:type="spellStart"/>
      <w:r w:rsidRPr="00B67779">
        <w:rPr>
          <w:rFonts w:ascii="Arial" w:hAnsi="Arial" w:cs="Arial"/>
          <w:color w:val="000000"/>
          <w:sz w:val="20"/>
          <w:szCs w:val="20"/>
        </w:rPr>
        <w:t>OUem</w:t>
      </w:r>
      <w:proofErr w:type="spellEnd"/>
      <w:r w:rsidRPr="00B67779">
        <w:rPr>
          <w:rFonts w:ascii="Arial" w:hAnsi="Arial" w:cs="Arial"/>
          <w:color w:val="000000"/>
          <w:sz w:val="20"/>
          <w:szCs w:val="20"/>
        </w:rPr>
        <w:t xml:space="preserve"> has asked all investment groups to use the Oxford Martin Principles for Climate-Conscious Investment, as a reference for engagement with portfolio companies, to help plan for a net zero world</w:t>
      </w:r>
      <w:r w:rsidR="000C4BF9">
        <w:rPr>
          <w:rFonts w:ascii="Arial" w:hAnsi="Arial" w:cs="Arial"/>
          <w:color w:val="000000"/>
          <w:sz w:val="20"/>
          <w:szCs w:val="20"/>
        </w:rPr>
        <w:t xml:space="preserve">. </w:t>
      </w:r>
      <w:r w:rsidR="00D57D63" w:rsidRPr="00A37F95">
        <w:rPr>
          <w:rFonts w:ascii="Arial" w:hAnsi="Arial" w:cs="Arial"/>
          <w:sz w:val="20"/>
          <w:szCs w:val="20"/>
        </w:rPr>
        <w:t>Wherever there is exposure</w:t>
      </w:r>
      <w:r w:rsidR="00D57D63" w:rsidRPr="00A37F95">
        <w:rPr>
          <w:rFonts w:ascii="Arial" w:hAnsi="Arial" w:cs="Arial"/>
          <w:color w:val="000000"/>
          <w:sz w:val="20"/>
          <w:szCs w:val="20"/>
        </w:rPr>
        <w:t xml:space="preserve"> </w:t>
      </w:r>
      <w:proofErr w:type="spellStart"/>
      <w:r w:rsidR="00D57D63" w:rsidRPr="00A37F95">
        <w:rPr>
          <w:rFonts w:ascii="Arial" w:hAnsi="Arial" w:cs="Arial"/>
          <w:color w:val="000000"/>
          <w:sz w:val="20"/>
          <w:szCs w:val="20"/>
        </w:rPr>
        <w:t>OUem</w:t>
      </w:r>
      <w:proofErr w:type="spellEnd"/>
      <w:r w:rsidR="00D57D63" w:rsidRPr="00A37F95">
        <w:rPr>
          <w:rFonts w:ascii="Arial" w:hAnsi="Arial" w:cs="Arial"/>
          <w:color w:val="000000"/>
          <w:sz w:val="20"/>
          <w:szCs w:val="20"/>
        </w:rPr>
        <w:t xml:space="preserve"> engages with the group and asks that they use the OM Principles for Climate-Conscious Investment to engage on net zero with the fossil fuel company.</w:t>
      </w:r>
      <w:r w:rsidR="00E575A3" w:rsidRPr="00A37F95">
        <w:rPr>
          <w:rFonts w:ascii="Arial" w:hAnsi="Arial" w:cs="Arial"/>
          <w:color w:val="000000"/>
          <w:sz w:val="20"/>
          <w:szCs w:val="20"/>
        </w:rPr>
        <w:t xml:space="preserve"> </w:t>
      </w:r>
    </w:p>
    <w:p w14:paraId="5BD8F3F8" w14:textId="354781C8" w:rsidR="00C2479A" w:rsidRPr="003B3784" w:rsidRDefault="00C2479A" w:rsidP="00C2479A">
      <w:pPr>
        <w:pStyle w:val="ListParagraph"/>
        <w:numPr>
          <w:ilvl w:val="1"/>
          <w:numId w:val="8"/>
        </w:numPr>
        <w:spacing w:after="240"/>
        <w:jc w:val="both"/>
        <w:rPr>
          <w:rFonts w:ascii="Arial" w:hAnsi="Arial" w:cs="Arial"/>
          <w:b/>
          <w:sz w:val="20"/>
          <w:szCs w:val="20"/>
        </w:rPr>
      </w:pPr>
      <w:proofErr w:type="spellStart"/>
      <w:r>
        <w:rPr>
          <w:rFonts w:ascii="Arial" w:hAnsi="Arial" w:cs="Arial"/>
          <w:b/>
          <w:sz w:val="20"/>
          <w:szCs w:val="20"/>
        </w:rPr>
        <w:t>OUem’s</w:t>
      </w:r>
      <w:proofErr w:type="spellEnd"/>
      <w:r>
        <w:rPr>
          <w:rFonts w:ascii="Arial" w:hAnsi="Arial" w:cs="Arial"/>
          <w:b/>
          <w:sz w:val="20"/>
          <w:szCs w:val="20"/>
        </w:rPr>
        <w:t xml:space="preserve"> ESG Principles </w:t>
      </w:r>
      <w:r w:rsidR="00A46D36">
        <w:rPr>
          <w:rFonts w:ascii="Arial" w:hAnsi="Arial" w:cs="Arial"/>
          <w:b/>
          <w:sz w:val="20"/>
          <w:szCs w:val="20"/>
        </w:rPr>
        <w:t>and Net Zero Reporting</w:t>
      </w:r>
    </w:p>
    <w:p w14:paraId="0C4BF717" w14:textId="77777777" w:rsidR="001A6168" w:rsidRPr="0099614E" w:rsidRDefault="001A6168" w:rsidP="001A6168">
      <w:pPr>
        <w:pStyle w:val="NormalWeb"/>
        <w:shd w:val="clear" w:color="auto" w:fill="FFFFFF"/>
        <w:rPr>
          <w:rFonts w:ascii="Arial" w:hAnsi="Arial" w:cs="Arial"/>
          <w:color w:val="000000"/>
          <w:sz w:val="20"/>
          <w:szCs w:val="20"/>
        </w:rPr>
      </w:pPr>
      <w:r w:rsidRPr="0099614E">
        <w:rPr>
          <w:rFonts w:ascii="Arial" w:hAnsi="Arial" w:cs="Arial"/>
          <w:color w:val="000000"/>
          <w:sz w:val="20"/>
          <w:szCs w:val="20"/>
        </w:rPr>
        <w:t xml:space="preserve">It is </w:t>
      </w:r>
      <w:proofErr w:type="spellStart"/>
      <w:r w:rsidRPr="0099614E">
        <w:rPr>
          <w:rFonts w:ascii="Arial" w:hAnsi="Arial" w:cs="Arial"/>
          <w:color w:val="000000"/>
          <w:sz w:val="20"/>
          <w:szCs w:val="20"/>
        </w:rPr>
        <w:t>OUem’s</w:t>
      </w:r>
      <w:proofErr w:type="spellEnd"/>
      <w:r w:rsidRPr="0099614E">
        <w:rPr>
          <w:rFonts w:ascii="Arial" w:hAnsi="Arial" w:cs="Arial"/>
          <w:color w:val="000000"/>
          <w:sz w:val="20"/>
          <w:szCs w:val="20"/>
        </w:rPr>
        <w:t xml:space="preserve"> aspiration to achieve complete coverage of the portfolio with net zero targets and Paris-aligned net zero strategies by 2035.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monitors their progress towards this target by tracking the percentage of managers with whom they invest that are taking steps towards net zero. They also measure the percentage coverage of underlying holdings’ coverage with net zero aligned targets. Net Zero targets are currently more readily available for large publicly listed companies, and measurements are often reliant on information reported by these companies.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asks all of the investment managers in the OEF to engage with their underlying portfolio companies to plan for a net zero world. They have also chosen to support organisations encouraging disclosure of climate-related metrics and targets where appropriate and that provide frameworks for responsible growth.</w:t>
      </w:r>
    </w:p>
    <w:p w14:paraId="5580D21C" w14:textId="7AC84615" w:rsidR="00BC5CBE" w:rsidRPr="00D52A8C" w:rsidRDefault="00BC5CBE" w:rsidP="00BC5CBE">
      <w:pPr>
        <w:pStyle w:val="BodyText"/>
        <w:rPr>
          <w:rFonts w:ascii="Arial" w:hAnsi="Arial" w:cs="Arial"/>
          <w:sz w:val="20"/>
          <w:szCs w:val="20"/>
        </w:rPr>
      </w:pPr>
      <w:proofErr w:type="spellStart"/>
      <w:r w:rsidRPr="00E06AA8">
        <w:rPr>
          <w:rFonts w:ascii="Arial" w:hAnsi="Arial" w:cs="Arial"/>
          <w:sz w:val="20"/>
          <w:szCs w:val="20"/>
        </w:rPr>
        <w:t>OUem</w:t>
      </w:r>
      <w:proofErr w:type="spellEnd"/>
      <w:r w:rsidRPr="00E06AA8">
        <w:rPr>
          <w:rFonts w:ascii="Arial" w:hAnsi="Arial" w:cs="Arial"/>
          <w:sz w:val="20"/>
          <w:szCs w:val="20"/>
        </w:rPr>
        <w:t xml:space="preserve"> has committed to supporting the Taskforce for Climate-Related Financial Disclosures (TCFD) and </w:t>
      </w:r>
      <w:r>
        <w:rPr>
          <w:rFonts w:ascii="Arial" w:hAnsi="Arial" w:cs="Arial"/>
          <w:sz w:val="20"/>
          <w:szCs w:val="20"/>
        </w:rPr>
        <w:t>has used</w:t>
      </w:r>
      <w:r w:rsidRPr="00E06AA8">
        <w:rPr>
          <w:rFonts w:ascii="Arial" w:hAnsi="Arial" w:cs="Arial"/>
          <w:sz w:val="20"/>
          <w:szCs w:val="20"/>
        </w:rPr>
        <w:t xml:space="preserve"> this framework </w:t>
      </w:r>
      <w:r>
        <w:rPr>
          <w:rFonts w:ascii="Arial" w:hAnsi="Arial" w:cs="Arial"/>
          <w:sz w:val="20"/>
          <w:szCs w:val="20"/>
        </w:rPr>
        <w:t xml:space="preserve">voluntarily </w:t>
      </w:r>
      <w:r w:rsidRPr="00E06AA8">
        <w:rPr>
          <w:rFonts w:ascii="Arial" w:hAnsi="Arial" w:cs="Arial"/>
          <w:sz w:val="20"/>
          <w:szCs w:val="20"/>
        </w:rPr>
        <w:t>for climate-related reporting</w:t>
      </w:r>
      <w:r>
        <w:rPr>
          <w:rFonts w:ascii="Arial" w:hAnsi="Arial" w:cs="Arial"/>
          <w:sz w:val="20"/>
          <w:szCs w:val="20"/>
        </w:rPr>
        <w:t xml:space="preserve"> since 2020</w:t>
      </w:r>
      <w:r w:rsidRPr="00E06AA8">
        <w:rPr>
          <w:rFonts w:ascii="Arial" w:hAnsi="Arial" w:cs="Arial"/>
          <w:sz w:val="20"/>
          <w:szCs w:val="20"/>
        </w:rPr>
        <w:t>.</w:t>
      </w:r>
      <w:r>
        <w:rPr>
          <w:rFonts w:ascii="Arial" w:hAnsi="Arial" w:cs="Arial"/>
          <w:sz w:val="20"/>
          <w:szCs w:val="20"/>
        </w:rPr>
        <w:t xml:space="preserve"> In 2024 the FCA implemented mandatory TCFD reporting requirements for investment managers </w:t>
      </w:r>
      <w:r w:rsidR="00BB721A">
        <w:rPr>
          <w:rFonts w:ascii="Arial" w:hAnsi="Arial" w:cs="Arial"/>
          <w:sz w:val="20"/>
          <w:szCs w:val="20"/>
        </w:rPr>
        <w:t xml:space="preserve">under the Alternative Investment Fund Management Directive (AIFMD) </w:t>
      </w:r>
      <w:r>
        <w:rPr>
          <w:rFonts w:ascii="Arial" w:hAnsi="Arial" w:cs="Arial"/>
          <w:sz w:val="20"/>
          <w:szCs w:val="20"/>
        </w:rPr>
        <w:t xml:space="preserve">with an AUM of over £5bn from certain prescribed business. </w:t>
      </w:r>
      <w:proofErr w:type="spellStart"/>
      <w:r>
        <w:rPr>
          <w:rFonts w:ascii="Arial" w:hAnsi="Arial" w:cs="Arial"/>
          <w:sz w:val="20"/>
          <w:szCs w:val="20"/>
        </w:rPr>
        <w:t>OUem</w:t>
      </w:r>
      <w:proofErr w:type="spellEnd"/>
      <w:r>
        <w:rPr>
          <w:rFonts w:ascii="Arial" w:hAnsi="Arial" w:cs="Arial"/>
          <w:sz w:val="20"/>
          <w:szCs w:val="20"/>
        </w:rPr>
        <w:t xml:space="preserve"> has produced its </w:t>
      </w:r>
      <w:r w:rsidR="001D628F">
        <w:rPr>
          <w:rFonts w:ascii="Arial" w:hAnsi="Arial" w:cs="Arial"/>
          <w:sz w:val="20"/>
          <w:szCs w:val="20"/>
        </w:rPr>
        <w:t xml:space="preserve">second </w:t>
      </w:r>
      <w:proofErr w:type="spellStart"/>
      <w:r>
        <w:rPr>
          <w:rFonts w:ascii="Arial" w:hAnsi="Arial" w:cs="Arial"/>
          <w:sz w:val="20"/>
          <w:szCs w:val="20"/>
        </w:rPr>
        <w:t>stand alone</w:t>
      </w:r>
      <w:proofErr w:type="spellEnd"/>
      <w:r>
        <w:rPr>
          <w:rFonts w:ascii="Arial" w:hAnsi="Arial" w:cs="Arial"/>
          <w:sz w:val="20"/>
          <w:szCs w:val="20"/>
        </w:rPr>
        <w:t xml:space="preserve"> TCFD report for the 202</w:t>
      </w:r>
      <w:r w:rsidR="001D628F">
        <w:rPr>
          <w:rFonts w:ascii="Arial" w:hAnsi="Arial" w:cs="Arial"/>
          <w:sz w:val="20"/>
          <w:szCs w:val="20"/>
        </w:rPr>
        <w:t>4</w:t>
      </w:r>
      <w:r>
        <w:rPr>
          <w:rFonts w:ascii="Arial" w:hAnsi="Arial" w:cs="Arial"/>
          <w:sz w:val="20"/>
          <w:szCs w:val="20"/>
        </w:rPr>
        <w:t xml:space="preserve"> calendar year</w:t>
      </w:r>
      <w:r w:rsidR="002B3BF6">
        <w:rPr>
          <w:rFonts w:ascii="Arial" w:hAnsi="Arial" w:cs="Arial"/>
          <w:sz w:val="20"/>
          <w:szCs w:val="20"/>
        </w:rPr>
        <w:t xml:space="preserve"> and it</w:t>
      </w:r>
      <w:r w:rsidR="00E81017">
        <w:rPr>
          <w:rFonts w:ascii="Arial" w:hAnsi="Arial" w:cs="Arial"/>
          <w:sz w:val="20"/>
          <w:szCs w:val="20"/>
        </w:rPr>
        <w:t xml:space="preserve"> has also </w:t>
      </w:r>
      <w:r w:rsidR="00A31B8D">
        <w:rPr>
          <w:rFonts w:ascii="Arial" w:hAnsi="Arial" w:cs="Arial"/>
          <w:sz w:val="20"/>
          <w:szCs w:val="20"/>
        </w:rPr>
        <w:t>voluntarily incorporated Task</w:t>
      </w:r>
      <w:r w:rsidR="002158A3">
        <w:rPr>
          <w:rFonts w:ascii="Arial" w:hAnsi="Arial" w:cs="Arial"/>
          <w:sz w:val="20"/>
          <w:szCs w:val="20"/>
        </w:rPr>
        <w:t>force for Nature-Related Financial Disclosures (</w:t>
      </w:r>
      <w:r>
        <w:rPr>
          <w:rFonts w:ascii="Arial" w:hAnsi="Arial" w:cs="Arial"/>
          <w:sz w:val="20"/>
          <w:szCs w:val="20"/>
        </w:rPr>
        <w:t>TNFD</w:t>
      </w:r>
      <w:r w:rsidR="002158A3">
        <w:rPr>
          <w:rFonts w:ascii="Arial" w:hAnsi="Arial" w:cs="Arial"/>
          <w:sz w:val="20"/>
          <w:szCs w:val="20"/>
        </w:rPr>
        <w:t>)</w:t>
      </w:r>
      <w:r>
        <w:rPr>
          <w:rFonts w:ascii="Arial" w:hAnsi="Arial" w:cs="Arial"/>
          <w:sz w:val="20"/>
          <w:szCs w:val="20"/>
        </w:rPr>
        <w:t xml:space="preserve"> reporting</w:t>
      </w:r>
      <w:r w:rsidRPr="00DF6D2C">
        <w:rPr>
          <w:rFonts w:ascii="Arial" w:hAnsi="Arial" w:cs="Arial"/>
          <w:sz w:val="20"/>
          <w:szCs w:val="20"/>
        </w:rPr>
        <w:t>.</w:t>
      </w:r>
      <w:r w:rsidR="002B3BF6">
        <w:rPr>
          <w:rFonts w:ascii="Arial" w:hAnsi="Arial" w:cs="Arial"/>
          <w:sz w:val="20"/>
          <w:szCs w:val="20"/>
        </w:rPr>
        <w:t xml:space="preserve"> The report is available here: </w:t>
      </w:r>
      <w:hyperlink r:id="rId18" w:history="1">
        <w:r w:rsidR="00B72975">
          <w:rPr>
            <w:rStyle w:val="Hyperlink"/>
            <w:rFonts w:ascii="Arial" w:hAnsi="Arial" w:cs="Arial"/>
            <w:sz w:val="20"/>
            <w:szCs w:val="20"/>
          </w:rPr>
          <w:t xml:space="preserve">TCFD &amp; TNFD | </w:t>
        </w:r>
        <w:proofErr w:type="spellStart"/>
        <w:r w:rsidR="00B72975">
          <w:rPr>
            <w:rStyle w:val="Hyperlink"/>
            <w:rFonts w:ascii="Arial" w:hAnsi="Arial" w:cs="Arial"/>
            <w:sz w:val="20"/>
            <w:szCs w:val="20"/>
          </w:rPr>
          <w:t>OUem</w:t>
        </w:r>
        <w:proofErr w:type="spellEnd"/>
      </w:hyperlink>
    </w:p>
    <w:p w14:paraId="3BEA155C" w14:textId="7D5A5B23" w:rsidR="00D53DCB" w:rsidRDefault="00A46D36" w:rsidP="00A54667">
      <w:pPr>
        <w:pStyle w:val="BodyText"/>
        <w:rPr>
          <w:rFonts w:ascii="Arial" w:hAnsi="Arial" w:cs="Arial"/>
          <w:color w:val="000000"/>
          <w:sz w:val="20"/>
          <w:szCs w:val="20"/>
        </w:rPr>
      </w:pPr>
      <w:proofErr w:type="spellStart"/>
      <w:r>
        <w:rPr>
          <w:rFonts w:ascii="Arial" w:hAnsi="Arial" w:cs="Arial"/>
          <w:sz w:val="20"/>
          <w:szCs w:val="20"/>
        </w:rPr>
        <w:t>OUem</w:t>
      </w:r>
      <w:proofErr w:type="spellEnd"/>
      <w:r>
        <w:rPr>
          <w:rFonts w:ascii="Arial" w:hAnsi="Arial" w:cs="Arial"/>
          <w:sz w:val="20"/>
          <w:szCs w:val="20"/>
        </w:rPr>
        <w:t xml:space="preserve"> has established four ESG principles to incorporate sustainability into its investment approach. These are: Investing in Solutions, Screening &amp; Due Diligence, Engagement and Collaboration. Full details of these are included on</w:t>
      </w:r>
      <w:r w:rsidR="005505C9">
        <w:rPr>
          <w:rFonts w:ascii="Arial" w:hAnsi="Arial" w:cs="Arial"/>
          <w:sz w:val="20"/>
          <w:szCs w:val="20"/>
        </w:rPr>
        <w:t xml:space="preserve"> </w:t>
      </w:r>
      <w:hyperlink r:id="rId19" w:history="1">
        <w:r w:rsidR="005505C9" w:rsidRPr="005505C9">
          <w:rPr>
            <w:rStyle w:val="Hyperlink"/>
            <w:rFonts w:ascii="Arial" w:hAnsi="Arial" w:cs="Arial"/>
            <w:sz w:val="20"/>
            <w:szCs w:val="20"/>
          </w:rPr>
          <w:t>http://www.ouem.co.uk</w:t>
        </w:r>
      </w:hyperlink>
      <w:r>
        <w:rPr>
          <w:rFonts w:ascii="Arial" w:hAnsi="Arial" w:cs="Arial"/>
          <w:sz w:val="20"/>
          <w:szCs w:val="20"/>
        </w:rPr>
        <w:t>.</w:t>
      </w:r>
      <w:r w:rsidRPr="002C1456">
        <w:rPr>
          <w:rFonts w:ascii="Arial" w:hAnsi="Arial" w:cs="Arial"/>
          <w:sz w:val="20"/>
          <w:szCs w:val="20"/>
        </w:rPr>
        <w:t xml:space="preserve"> </w:t>
      </w:r>
      <w:r w:rsidR="00D53DCB" w:rsidRPr="00BB483A">
        <w:rPr>
          <w:rFonts w:ascii="Arial" w:hAnsi="Arial" w:cs="Arial"/>
          <w:color w:val="000000"/>
          <w:sz w:val="20"/>
          <w:szCs w:val="20"/>
        </w:rPr>
        <w:t xml:space="preserve">A summary of </w:t>
      </w:r>
      <w:proofErr w:type="spellStart"/>
      <w:r w:rsidR="00D53DCB" w:rsidRPr="00BB483A">
        <w:rPr>
          <w:rFonts w:ascii="Arial" w:hAnsi="Arial" w:cs="Arial"/>
          <w:color w:val="000000"/>
          <w:sz w:val="20"/>
          <w:szCs w:val="20"/>
        </w:rPr>
        <w:t>OUem’s</w:t>
      </w:r>
      <w:proofErr w:type="spellEnd"/>
      <w:r w:rsidR="00D53DCB" w:rsidRPr="00BB483A">
        <w:rPr>
          <w:rFonts w:ascii="Arial" w:hAnsi="Arial" w:cs="Arial"/>
          <w:color w:val="000000"/>
          <w:sz w:val="20"/>
          <w:szCs w:val="20"/>
        </w:rPr>
        <w:t xml:space="preserve"> approach to integrating sustainability into the Oxford Endowment Fund is included below</w:t>
      </w:r>
      <w:r w:rsidR="00A54667">
        <w:rPr>
          <w:rFonts w:ascii="Arial" w:hAnsi="Arial" w:cs="Arial"/>
          <w:color w:val="000000"/>
          <w:sz w:val="20"/>
          <w:szCs w:val="20"/>
        </w:rPr>
        <w:t xml:space="preserve">. </w:t>
      </w:r>
    </w:p>
    <w:p w14:paraId="7CD261C9" w14:textId="3833E876" w:rsidR="002A21F3" w:rsidRDefault="00D53DCB" w:rsidP="00D53DCB">
      <w:pPr>
        <w:pStyle w:val="NormalWeb"/>
        <w:shd w:val="clear" w:color="auto" w:fill="FFFFFF"/>
        <w:rPr>
          <w:rFonts w:ascii="Arial" w:hAnsi="Arial" w:cs="Arial"/>
          <w:color w:val="000000"/>
          <w:sz w:val="20"/>
          <w:szCs w:val="20"/>
        </w:rPr>
      </w:pPr>
      <w:r w:rsidRPr="0099614E">
        <w:rPr>
          <w:rFonts w:ascii="Arial" w:hAnsi="Arial" w:cs="Arial"/>
          <w:b/>
          <w:bCs/>
          <w:color w:val="000000"/>
          <w:sz w:val="20"/>
          <w:szCs w:val="20"/>
        </w:rPr>
        <w:t>Investing in Solutions</w:t>
      </w:r>
      <w:r>
        <w:rPr>
          <w:rFonts w:ascii="Arial" w:hAnsi="Arial" w:cs="Arial"/>
          <w:b/>
          <w:bCs/>
          <w:color w:val="000000"/>
          <w:sz w:val="20"/>
          <w:szCs w:val="20"/>
        </w:rPr>
        <w:t xml:space="preserve">: </w:t>
      </w:r>
      <w:proofErr w:type="spellStart"/>
      <w:r w:rsidRPr="00BB483A">
        <w:rPr>
          <w:rFonts w:ascii="Arial" w:hAnsi="Arial" w:cs="Arial"/>
          <w:color w:val="000000"/>
          <w:sz w:val="20"/>
          <w:szCs w:val="20"/>
        </w:rPr>
        <w:t>OUem</w:t>
      </w:r>
      <w:proofErr w:type="spellEnd"/>
      <w:r w:rsidRPr="00BB483A">
        <w:rPr>
          <w:rFonts w:ascii="Arial" w:hAnsi="Arial" w:cs="Arial"/>
          <w:color w:val="000000"/>
          <w:sz w:val="20"/>
          <w:szCs w:val="20"/>
        </w:rPr>
        <w:t xml:space="preserve"> has sought to be part of the solution to sustainability and climate change. Investors’ permanent capital allows </w:t>
      </w:r>
      <w:proofErr w:type="spellStart"/>
      <w:r w:rsidRPr="00BB483A">
        <w:rPr>
          <w:rFonts w:ascii="Arial" w:hAnsi="Arial" w:cs="Arial"/>
          <w:color w:val="000000"/>
          <w:sz w:val="20"/>
          <w:szCs w:val="20"/>
        </w:rPr>
        <w:t>OUem</w:t>
      </w:r>
      <w:proofErr w:type="spellEnd"/>
      <w:r w:rsidRPr="00BB483A">
        <w:rPr>
          <w:rFonts w:ascii="Arial" w:hAnsi="Arial" w:cs="Arial"/>
          <w:color w:val="000000"/>
          <w:sz w:val="20"/>
          <w:szCs w:val="20"/>
        </w:rPr>
        <w:t xml:space="preserve"> to invest in areas of innovative sustainability solutions. As an outcome of its investment approach, the OEF </w:t>
      </w:r>
      <w:r w:rsidR="00EF40C2">
        <w:rPr>
          <w:rFonts w:ascii="Arial" w:hAnsi="Arial" w:cs="Arial"/>
          <w:color w:val="000000"/>
          <w:sz w:val="20"/>
          <w:szCs w:val="20"/>
        </w:rPr>
        <w:t>holds a number of investments</w:t>
      </w:r>
      <w:r w:rsidRPr="00BB483A">
        <w:rPr>
          <w:rFonts w:ascii="Arial" w:hAnsi="Arial" w:cs="Arial"/>
          <w:color w:val="000000"/>
          <w:sz w:val="20"/>
          <w:szCs w:val="20"/>
        </w:rPr>
        <w:t xml:space="preserve"> with a focus on resource efficiency and the climate transition. </w:t>
      </w:r>
      <w:proofErr w:type="spellStart"/>
      <w:r w:rsidRPr="00BB483A">
        <w:rPr>
          <w:rFonts w:ascii="Arial" w:hAnsi="Arial" w:cs="Arial"/>
          <w:color w:val="000000"/>
          <w:sz w:val="20"/>
          <w:szCs w:val="20"/>
        </w:rPr>
        <w:t>OUem</w:t>
      </w:r>
      <w:proofErr w:type="spellEnd"/>
      <w:r w:rsidRPr="00BB483A">
        <w:rPr>
          <w:rFonts w:ascii="Arial" w:hAnsi="Arial" w:cs="Arial"/>
          <w:color w:val="000000"/>
          <w:sz w:val="20"/>
          <w:szCs w:val="20"/>
        </w:rPr>
        <w:t xml:space="preserve"> has a Natural Capital strategy involving substantial rural land investments in the UK, has invested in funds with a climate change mitigation focus, those driving climate engagement with companies, groups incorporating the transition to net zero within their investment thesis and innovative private companies focused on transition solutions. Some other examples</w:t>
      </w:r>
      <w:r w:rsidRPr="00BB483A" w:rsidDel="0055597D">
        <w:rPr>
          <w:rFonts w:ascii="Arial" w:hAnsi="Arial" w:cs="Arial"/>
          <w:color w:val="000000"/>
          <w:sz w:val="20"/>
          <w:szCs w:val="20"/>
        </w:rPr>
        <w:t xml:space="preserve"> of </w:t>
      </w:r>
      <w:r w:rsidRPr="00BB483A">
        <w:rPr>
          <w:rFonts w:ascii="Arial" w:hAnsi="Arial" w:cs="Arial"/>
          <w:color w:val="000000"/>
          <w:sz w:val="20"/>
          <w:szCs w:val="20"/>
        </w:rPr>
        <w:t>investments in solutions from 202</w:t>
      </w:r>
      <w:r w:rsidR="00D106DA">
        <w:rPr>
          <w:rFonts w:ascii="Arial" w:hAnsi="Arial" w:cs="Arial"/>
          <w:color w:val="000000"/>
          <w:sz w:val="20"/>
          <w:szCs w:val="20"/>
        </w:rPr>
        <w:t>4</w:t>
      </w:r>
      <w:r w:rsidRPr="00BB483A">
        <w:rPr>
          <w:rFonts w:ascii="Arial" w:hAnsi="Arial" w:cs="Arial"/>
          <w:color w:val="000000"/>
          <w:sz w:val="20"/>
          <w:szCs w:val="20"/>
        </w:rPr>
        <w:t xml:space="preserve"> in the OEF’s underlying portfolio include: </w:t>
      </w:r>
      <w:r w:rsidR="002A21F3">
        <w:rPr>
          <w:rFonts w:ascii="Arial" w:hAnsi="Arial" w:cs="Arial"/>
          <w:color w:val="000000"/>
          <w:sz w:val="20"/>
          <w:szCs w:val="20"/>
        </w:rPr>
        <w:t xml:space="preserve">green ammonia, </w:t>
      </w:r>
      <w:r w:rsidR="009277F0">
        <w:rPr>
          <w:rFonts w:ascii="Arial" w:hAnsi="Arial" w:cs="Arial"/>
          <w:color w:val="000000"/>
          <w:sz w:val="20"/>
          <w:szCs w:val="20"/>
        </w:rPr>
        <w:t>hydrogen powered vehicles, nuclear fusion, climate scenario analysis software</w:t>
      </w:r>
      <w:r w:rsidR="00D106DA">
        <w:rPr>
          <w:rFonts w:ascii="Arial" w:hAnsi="Arial" w:cs="Arial"/>
          <w:color w:val="000000"/>
          <w:sz w:val="20"/>
          <w:szCs w:val="20"/>
        </w:rPr>
        <w:t xml:space="preserve"> and climate action platforms.</w:t>
      </w:r>
    </w:p>
    <w:p w14:paraId="43066370" w14:textId="77777777" w:rsidR="00D53DCB" w:rsidRPr="0099614E" w:rsidRDefault="00D53DCB" w:rsidP="00D53DCB">
      <w:pPr>
        <w:pStyle w:val="NormalWeb"/>
        <w:shd w:val="clear" w:color="auto" w:fill="FFFFFF"/>
        <w:rPr>
          <w:rFonts w:ascii="Arial" w:hAnsi="Arial" w:cs="Arial"/>
          <w:color w:val="000000"/>
          <w:sz w:val="20"/>
          <w:szCs w:val="20"/>
        </w:rPr>
      </w:pPr>
    </w:p>
    <w:p w14:paraId="67218D89" w14:textId="3825B737" w:rsidR="00D53DCB" w:rsidRDefault="00D53DCB" w:rsidP="77B4EA58">
      <w:pPr>
        <w:pStyle w:val="NormalWeb"/>
        <w:shd w:val="clear" w:color="auto" w:fill="FFFFFF" w:themeFill="background1"/>
        <w:rPr>
          <w:rFonts w:ascii="Arial" w:hAnsi="Arial" w:cs="Arial"/>
          <w:color w:val="000000"/>
          <w:sz w:val="20"/>
          <w:szCs w:val="20"/>
        </w:rPr>
      </w:pPr>
      <w:r w:rsidRPr="77B4EA58">
        <w:rPr>
          <w:rFonts w:ascii="Arial" w:hAnsi="Arial" w:cs="Arial"/>
          <w:b/>
          <w:color w:val="000000" w:themeColor="text1"/>
          <w:sz w:val="20"/>
          <w:szCs w:val="20"/>
        </w:rPr>
        <w:t>Screening and Due Diligence:</w:t>
      </w:r>
      <w:r w:rsidRPr="77B4EA58">
        <w:rPr>
          <w:rFonts w:ascii="Arial" w:hAnsi="Arial" w:cs="Arial"/>
          <w:color w:val="000000" w:themeColor="text1"/>
          <w:sz w:val="20"/>
          <w:szCs w:val="20"/>
        </w:rPr>
        <w:t xml:space="preserve"> </w:t>
      </w:r>
      <w:proofErr w:type="spellStart"/>
      <w:r w:rsidRPr="00112D9C">
        <w:rPr>
          <w:rFonts w:ascii="Arial" w:hAnsi="Arial" w:cs="Arial"/>
          <w:color w:val="000000"/>
          <w:sz w:val="20"/>
          <w:szCs w:val="20"/>
        </w:rPr>
        <w:t>OUem</w:t>
      </w:r>
      <w:proofErr w:type="spellEnd"/>
      <w:r w:rsidRPr="00112D9C">
        <w:rPr>
          <w:rFonts w:ascii="Arial" w:hAnsi="Arial" w:cs="Arial"/>
          <w:color w:val="000000"/>
          <w:sz w:val="20"/>
          <w:szCs w:val="20"/>
        </w:rPr>
        <w:t xml:space="preserve"> continue</w:t>
      </w:r>
      <w:r w:rsidR="00E4690D" w:rsidRPr="00112D9C">
        <w:rPr>
          <w:rFonts w:ascii="Arial" w:hAnsi="Arial" w:cs="Arial"/>
          <w:color w:val="000000"/>
          <w:sz w:val="20"/>
          <w:szCs w:val="20"/>
        </w:rPr>
        <w:t>s</w:t>
      </w:r>
      <w:r w:rsidRPr="00112D9C">
        <w:rPr>
          <w:rFonts w:ascii="Arial" w:hAnsi="Arial" w:cs="Arial"/>
          <w:color w:val="000000"/>
          <w:sz w:val="20"/>
          <w:szCs w:val="20"/>
        </w:rPr>
        <w:t xml:space="preserve"> to conduct detailed ESG due diligence prior to investment to ensure an idea matches expectations with regard to ESG risks. A recent example of the ESG diligence process for a new </w:t>
      </w:r>
      <w:r w:rsidR="0043276F" w:rsidRPr="00112D9C">
        <w:rPr>
          <w:rFonts w:ascii="Arial" w:hAnsi="Arial" w:cs="Arial"/>
          <w:color w:val="000000"/>
          <w:sz w:val="20"/>
          <w:szCs w:val="20"/>
        </w:rPr>
        <w:t>Private</w:t>
      </w:r>
      <w:r w:rsidRPr="00112D9C">
        <w:rPr>
          <w:rFonts w:ascii="Arial" w:hAnsi="Arial" w:cs="Arial"/>
          <w:color w:val="000000"/>
          <w:sz w:val="20"/>
          <w:szCs w:val="20"/>
        </w:rPr>
        <w:t xml:space="preserve"> Equity</w:t>
      </w:r>
      <w:r w:rsidR="003E33E3" w:rsidRPr="00112D9C">
        <w:rPr>
          <w:rFonts w:ascii="Arial" w:hAnsi="Arial" w:cs="Arial"/>
          <w:color w:val="000000"/>
          <w:sz w:val="20"/>
          <w:szCs w:val="20"/>
        </w:rPr>
        <w:t xml:space="preserve"> investment</w:t>
      </w:r>
      <w:r w:rsidRPr="00112D9C">
        <w:rPr>
          <w:rFonts w:ascii="Arial" w:hAnsi="Arial" w:cs="Arial"/>
          <w:color w:val="000000"/>
          <w:sz w:val="20"/>
          <w:szCs w:val="20"/>
        </w:rPr>
        <w:t xml:space="preserve"> has been provided by </w:t>
      </w:r>
      <w:proofErr w:type="spellStart"/>
      <w:r w:rsidRPr="00112D9C">
        <w:rPr>
          <w:rFonts w:ascii="Arial" w:hAnsi="Arial" w:cs="Arial"/>
          <w:color w:val="000000"/>
          <w:sz w:val="20"/>
          <w:szCs w:val="20"/>
        </w:rPr>
        <w:t>OUem</w:t>
      </w:r>
      <w:proofErr w:type="spellEnd"/>
      <w:r w:rsidRPr="00112D9C">
        <w:rPr>
          <w:rFonts w:ascii="Arial" w:hAnsi="Arial" w:cs="Arial"/>
          <w:color w:val="000000"/>
          <w:sz w:val="20"/>
          <w:szCs w:val="20"/>
        </w:rPr>
        <w:t>. This manager has an ESG integration policy and integrates ESG risk</w:t>
      </w:r>
      <w:r w:rsidR="00A54F00">
        <w:rPr>
          <w:rFonts w:ascii="Arial" w:hAnsi="Arial" w:cs="Arial"/>
          <w:color w:val="000000"/>
          <w:sz w:val="20"/>
          <w:szCs w:val="20"/>
        </w:rPr>
        <w:t>s</w:t>
      </w:r>
      <w:r w:rsidRPr="00112D9C">
        <w:rPr>
          <w:rFonts w:ascii="Arial" w:hAnsi="Arial" w:cs="Arial"/>
          <w:color w:val="000000"/>
          <w:sz w:val="20"/>
          <w:szCs w:val="20"/>
        </w:rPr>
        <w:t xml:space="preserve"> into its assessment and management of business risk. ESG factors are integrated into the team’s investment process where the team </w:t>
      </w:r>
      <w:r w:rsidR="00D12EC2" w:rsidRPr="00112D9C">
        <w:rPr>
          <w:rFonts w:ascii="Arial" w:hAnsi="Arial" w:cs="Arial"/>
          <w:color w:val="000000"/>
          <w:sz w:val="20"/>
          <w:szCs w:val="20"/>
        </w:rPr>
        <w:t>recogni</w:t>
      </w:r>
      <w:r w:rsidR="00112D9C" w:rsidRPr="00112D9C">
        <w:rPr>
          <w:rFonts w:ascii="Arial" w:hAnsi="Arial" w:cs="Arial"/>
          <w:color w:val="000000"/>
          <w:sz w:val="20"/>
          <w:szCs w:val="20"/>
        </w:rPr>
        <w:t>s</w:t>
      </w:r>
      <w:r w:rsidR="00D12EC2" w:rsidRPr="00112D9C">
        <w:rPr>
          <w:rFonts w:ascii="Arial" w:hAnsi="Arial" w:cs="Arial"/>
          <w:color w:val="000000"/>
          <w:sz w:val="20"/>
          <w:szCs w:val="20"/>
        </w:rPr>
        <w:t xml:space="preserve">e the importance of integrating ESG factors to promote the </w:t>
      </w:r>
      <w:proofErr w:type="gramStart"/>
      <w:r w:rsidR="00D12EC2" w:rsidRPr="00112D9C">
        <w:rPr>
          <w:rFonts w:ascii="Arial" w:hAnsi="Arial" w:cs="Arial"/>
          <w:color w:val="000000"/>
          <w:sz w:val="20"/>
          <w:szCs w:val="20"/>
        </w:rPr>
        <w:t>long term</w:t>
      </w:r>
      <w:proofErr w:type="gramEnd"/>
      <w:r w:rsidR="00D12EC2" w:rsidRPr="00112D9C">
        <w:rPr>
          <w:rFonts w:ascii="Arial" w:hAnsi="Arial" w:cs="Arial"/>
          <w:color w:val="000000"/>
          <w:sz w:val="20"/>
          <w:szCs w:val="20"/>
        </w:rPr>
        <w:t xml:space="preserve"> success of its investment activities.</w:t>
      </w:r>
      <w:r w:rsidRPr="00112D9C" w:rsidDel="00113A36">
        <w:rPr>
          <w:rFonts w:ascii="Arial" w:hAnsi="Arial" w:cs="Arial"/>
          <w:color w:val="000000"/>
          <w:sz w:val="20"/>
          <w:szCs w:val="20"/>
        </w:rPr>
        <w:t xml:space="preserve"> </w:t>
      </w:r>
      <w:r w:rsidRPr="00112D9C">
        <w:rPr>
          <w:rFonts w:ascii="Arial" w:hAnsi="Arial" w:cs="Arial"/>
          <w:color w:val="000000"/>
          <w:sz w:val="20"/>
          <w:szCs w:val="20"/>
        </w:rPr>
        <w:t>They have their own ESG policy</w:t>
      </w:r>
      <w:r w:rsidR="00C8373E" w:rsidRPr="00112D9C">
        <w:rPr>
          <w:rFonts w:ascii="Arial" w:hAnsi="Arial" w:cs="Arial"/>
          <w:color w:val="000000"/>
          <w:sz w:val="20"/>
          <w:szCs w:val="20"/>
        </w:rPr>
        <w:t xml:space="preserve"> and the </w:t>
      </w:r>
      <w:r w:rsidR="002B4041" w:rsidRPr="00112D9C">
        <w:rPr>
          <w:rFonts w:ascii="Arial" w:hAnsi="Arial" w:cs="Arial"/>
          <w:color w:val="000000"/>
          <w:sz w:val="20"/>
          <w:szCs w:val="20"/>
        </w:rPr>
        <w:t>UN PRI, along with the UN Global Compact (UNGC) guide their sustainability activities</w:t>
      </w:r>
      <w:r w:rsidRPr="00112D9C">
        <w:rPr>
          <w:rFonts w:ascii="Arial" w:hAnsi="Arial" w:cs="Arial"/>
          <w:color w:val="000000"/>
          <w:sz w:val="20"/>
          <w:szCs w:val="20"/>
        </w:rPr>
        <w:t>. These factors</w:t>
      </w:r>
      <w:r w:rsidR="00F53025">
        <w:rPr>
          <w:rFonts w:ascii="Arial" w:hAnsi="Arial" w:cs="Arial"/>
          <w:color w:val="000000"/>
          <w:sz w:val="20"/>
          <w:szCs w:val="20"/>
        </w:rPr>
        <w:t xml:space="preserve">, as part of an extensive diligence process, </w:t>
      </w:r>
      <w:r w:rsidRPr="00112D9C">
        <w:rPr>
          <w:rFonts w:ascii="Arial" w:hAnsi="Arial" w:cs="Arial"/>
          <w:color w:val="000000"/>
          <w:sz w:val="20"/>
          <w:szCs w:val="20"/>
        </w:rPr>
        <w:t xml:space="preserve">contributed to </w:t>
      </w:r>
      <w:proofErr w:type="spellStart"/>
      <w:r w:rsidRPr="00112D9C">
        <w:rPr>
          <w:rFonts w:ascii="Arial" w:hAnsi="Arial" w:cs="Arial"/>
          <w:color w:val="000000"/>
          <w:sz w:val="20"/>
          <w:szCs w:val="20"/>
        </w:rPr>
        <w:t>OUem</w:t>
      </w:r>
      <w:proofErr w:type="spellEnd"/>
      <w:r w:rsidRPr="00112D9C">
        <w:rPr>
          <w:rFonts w:ascii="Arial" w:hAnsi="Arial" w:cs="Arial"/>
          <w:color w:val="000000"/>
          <w:sz w:val="20"/>
          <w:szCs w:val="20"/>
        </w:rPr>
        <w:t xml:space="preserve"> making an investment in this group.</w:t>
      </w:r>
      <w:r w:rsidRPr="77B4EA58">
        <w:rPr>
          <w:rFonts w:ascii="Arial" w:hAnsi="Arial" w:cs="Arial"/>
          <w:color w:val="000000" w:themeColor="text1"/>
          <w:sz w:val="20"/>
          <w:szCs w:val="20"/>
        </w:rPr>
        <w:t xml:space="preserve"> </w:t>
      </w:r>
    </w:p>
    <w:p w14:paraId="0D3FB669" w14:textId="77777777" w:rsidR="00D53DCB" w:rsidRPr="0099614E" w:rsidRDefault="00D53DCB" w:rsidP="00D53DCB">
      <w:pPr>
        <w:pStyle w:val="NormalWeb"/>
        <w:shd w:val="clear" w:color="auto" w:fill="FFFFFF"/>
        <w:rPr>
          <w:rFonts w:ascii="Arial" w:hAnsi="Arial" w:cs="Arial"/>
          <w:color w:val="000000"/>
          <w:sz w:val="20"/>
          <w:szCs w:val="20"/>
        </w:rPr>
      </w:pPr>
    </w:p>
    <w:p w14:paraId="6045945D" w14:textId="0DE403F9" w:rsidR="00D53DCB" w:rsidRDefault="00D53DCB" w:rsidP="00DA1A75">
      <w:pPr>
        <w:pStyle w:val="NormalWeb"/>
        <w:shd w:val="clear" w:color="auto" w:fill="FFFFFF"/>
        <w:rPr>
          <w:rFonts w:ascii="Arial" w:hAnsi="Arial" w:cs="Arial"/>
          <w:color w:val="000000"/>
          <w:sz w:val="20"/>
          <w:szCs w:val="20"/>
        </w:rPr>
      </w:pPr>
      <w:r w:rsidRPr="00F42829">
        <w:rPr>
          <w:rFonts w:ascii="Arial" w:hAnsi="Arial" w:cs="Arial"/>
          <w:b/>
          <w:bCs/>
          <w:color w:val="000000"/>
          <w:sz w:val="20"/>
          <w:szCs w:val="20"/>
        </w:rPr>
        <w:t>Engagement:</w:t>
      </w:r>
      <w:r w:rsidRPr="0099614E">
        <w:rPr>
          <w:rFonts w:ascii="Arial" w:hAnsi="Arial" w:cs="Arial"/>
          <w:color w:val="000000"/>
          <w:sz w:val="20"/>
          <w:szCs w:val="20"/>
        </w:rPr>
        <w:t xml:space="preserve">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is in regular dialogue with investment groups on matters of sustainability during due diligence and in ongoing evaluation. During 202</w:t>
      </w:r>
      <w:r w:rsidR="008744CE">
        <w:rPr>
          <w:rFonts w:ascii="Arial" w:hAnsi="Arial" w:cs="Arial"/>
          <w:color w:val="000000"/>
          <w:sz w:val="20"/>
          <w:szCs w:val="20"/>
        </w:rPr>
        <w:t>4</w:t>
      </w:r>
      <w:r w:rsidRPr="0099614E">
        <w:rPr>
          <w:rFonts w:ascii="Arial" w:hAnsi="Arial" w:cs="Arial"/>
          <w:color w:val="000000"/>
          <w:sz w:val="20"/>
          <w:szCs w:val="20"/>
        </w:rPr>
        <w:t xml:space="preserve">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recorded 2</w:t>
      </w:r>
      <w:r w:rsidR="00012FBB">
        <w:rPr>
          <w:rFonts w:ascii="Arial" w:hAnsi="Arial" w:cs="Arial"/>
          <w:color w:val="000000"/>
          <w:sz w:val="20"/>
          <w:szCs w:val="20"/>
        </w:rPr>
        <w:t>38</w:t>
      </w:r>
      <w:r w:rsidRPr="0099614E">
        <w:rPr>
          <w:rFonts w:ascii="Arial" w:hAnsi="Arial" w:cs="Arial"/>
          <w:color w:val="000000"/>
          <w:sz w:val="20"/>
          <w:szCs w:val="20"/>
        </w:rPr>
        <w:t xml:space="preserve"> instances of ESG </w:t>
      </w:r>
      <w:r w:rsidRPr="0099614E">
        <w:rPr>
          <w:rFonts w:ascii="Arial" w:hAnsi="Arial" w:cs="Arial"/>
          <w:color w:val="000000"/>
          <w:sz w:val="20"/>
          <w:szCs w:val="20"/>
        </w:rPr>
        <w:lastRenderedPageBreak/>
        <w:t xml:space="preserve">leadership activity and </w:t>
      </w:r>
      <w:r w:rsidR="00446532">
        <w:rPr>
          <w:rFonts w:ascii="Arial" w:hAnsi="Arial" w:cs="Arial"/>
          <w:color w:val="000000"/>
          <w:sz w:val="20"/>
          <w:szCs w:val="20"/>
        </w:rPr>
        <w:t>25</w:t>
      </w:r>
      <w:r w:rsidRPr="0099614E">
        <w:rPr>
          <w:rFonts w:ascii="Arial" w:hAnsi="Arial" w:cs="Arial"/>
          <w:color w:val="000000"/>
          <w:sz w:val="20"/>
          <w:szCs w:val="20"/>
        </w:rPr>
        <w:t xml:space="preserve"> ESG issues; this is in line with the </w:t>
      </w:r>
      <w:proofErr w:type="gramStart"/>
      <w:r w:rsidR="00F06BCD">
        <w:rPr>
          <w:rFonts w:ascii="Arial" w:hAnsi="Arial" w:cs="Arial"/>
          <w:color w:val="000000"/>
          <w:sz w:val="20"/>
          <w:szCs w:val="20"/>
        </w:rPr>
        <w:t>five</w:t>
      </w:r>
      <w:r w:rsidRPr="0099614E">
        <w:rPr>
          <w:rFonts w:ascii="Arial" w:hAnsi="Arial" w:cs="Arial"/>
          <w:color w:val="000000"/>
          <w:sz w:val="20"/>
          <w:szCs w:val="20"/>
        </w:rPr>
        <w:t xml:space="preserve"> year</w:t>
      </w:r>
      <w:proofErr w:type="gramEnd"/>
      <w:r w:rsidRPr="0099614E">
        <w:rPr>
          <w:rFonts w:ascii="Arial" w:hAnsi="Arial" w:cs="Arial"/>
          <w:color w:val="000000"/>
          <w:sz w:val="20"/>
          <w:szCs w:val="20"/>
        </w:rPr>
        <w:t xml:space="preserve"> annualised number of 2</w:t>
      </w:r>
      <w:r w:rsidR="003447C9">
        <w:rPr>
          <w:rFonts w:ascii="Arial" w:hAnsi="Arial" w:cs="Arial"/>
          <w:color w:val="000000"/>
          <w:sz w:val="20"/>
          <w:szCs w:val="20"/>
        </w:rPr>
        <w:t>48</w:t>
      </w:r>
      <w:r w:rsidRPr="0099614E">
        <w:rPr>
          <w:rFonts w:ascii="Arial" w:hAnsi="Arial" w:cs="Arial"/>
          <w:color w:val="000000"/>
          <w:sz w:val="20"/>
          <w:szCs w:val="20"/>
        </w:rPr>
        <w:t xml:space="preserve"> leadership, </w:t>
      </w:r>
      <w:r w:rsidR="00932591">
        <w:rPr>
          <w:rFonts w:ascii="Arial" w:hAnsi="Arial" w:cs="Arial"/>
          <w:color w:val="000000"/>
          <w:sz w:val="20"/>
          <w:szCs w:val="20"/>
        </w:rPr>
        <w:t>4</w:t>
      </w:r>
      <w:r w:rsidR="003447C9">
        <w:rPr>
          <w:rFonts w:ascii="Arial" w:hAnsi="Arial" w:cs="Arial"/>
          <w:color w:val="000000"/>
          <w:sz w:val="20"/>
          <w:szCs w:val="20"/>
        </w:rPr>
        <w:t>5</w:t>
      </w:r>
      <w:r w:rsidRPr="0099614E">
        <w:rPr>
          <w:rFonts w:ascii="Arial" w:hAnsi="Arial" w:cs="Arial"/>
          <w:color w:val="000000"/>
          <w:sz w:val="20"/>
          <w:szCs w:val="20"/>
        </w:rPr>
        <w:t xml:space="preserve"> issues. These activities can include: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engaging with a manager on any aspect of ESG, a new ESG positive investment made by a manager, an initiative set up by a manager, ESG policy development by a manager, or a major development in an underlying holding, whether this be ESG leadership or an issue. Individual activity or engagement can therefore vary greatly in scope and scale. The data is derived from information provided by investment groups, ongoing dialogue and a monitoring service set up by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to capture ESG news from the portfolio and underlying holdings. Activity in these areas will vary year-on-year due to a number of factors, including the number of managers in the fund, the mix of manager strategies, the market environment, as well as general levels of activity. If an ESG activity is deemed to pose a material risk to the portfolio,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will engage with managers to gain a better understanding of the risk and how it can be managed. Examples of activity included: </w:t>
      </w:r>
      <w:r w:rsidR="0095380A">
        <w:rPr>
          <w:rFonts w:ascii="Arial" w:hAnsi="Arial" w:cs="Arial"/>
          <w:color w:val="000000"/>
          <w:sz w:val="20"/>
          <w:szCs w:val="20"/>
        </w:rPr>
        <w:t xml:space="preserve"> </w:t>
      </w:r>
      <w:r w:rsidR="0095380A" w:rsidRPr="0095380A">
        <w:rPr>
          <w:rFonts w:ascii="Arial" w:hAnsi="Arial" w:cs="Arial"/>
          <w:color w:val="000000"/>
          <w:sz w:val="20"/>
          <w:szCs w:val="20"/>
        </w:rPr>
        <w:t>An OEF Private Equity manager reported that their B Corp Impact Score has</w:t>
      </w:r>
      <w:r w:rsidR="0095380A">
        <w:rPr>
          <w:rFonts w:ascii="Arial" w:hAnsi="Arial" w:cs="Arial"/>
          <w:color w:val="000000"/>
          <w:sz w:val="20"/>
          <w:szCs w:val="20"/>
        </w:rPr>
        <w:t xml:space="preserve"> </w:t>
      </w:r>
      <w:r w:rsidR="0095380A" w:rsidRPr="0095380A">
        <w:rPr>
          <w:rFonts w:ascii="Arial" w:hAnsi="Arial" w:cs="Arial"/>
          <w:color w:val="000000"/>
          <w:sz w:val="20"/>
          <w:szCs w:val="20"/>
        </w:rPr>
        <w:t>improved significantly since 2021. They also reported that they assisted two of</w:t>
      </w:r>
      <w:r w:rsidR="0095380A">
        <w:rPr>
          <w:rFonts w:ascii="Arial" w:hAnsi="Arial" w:cs="Arial"/>
          <w:color w:val="000000"/>
          <w:sz w:val="20"/>
          <w:szCs w:val="20"/>
        </w:rPr>
        <w:t xml:space="preserve"> </w:t>
      </w:r>
      <w:r w:rsidR="0095380A" w:rsidRPr="0095380A">
        <w:rPr>
          <w:rFonts w:ascii="Arial" w:hAnsi="Arial" w:cs="Arial"/>
          <w:color w:val="000000"/>
          <w:sz w:val="20"/>
          <w:szCs w:val="20"/>
        </w:rPr>
        <w:t>their portfolio companies in achieving B Corp certification and another two in</w:t>
      </w:r>
      <w:r w:rsidR="0095380A">
        <w:rPr>
          <w:rFonts w:ascii="Arial" w:hAnsi="Arial" w:cs="Arial"/>
          <w:color w:val="000000"/>
          <w:sz w:val="20"/>
          <w:szCs w:val="20"/>
        </w:rPr>
        <w:t xml:space="preserve"> </w:t>
      </w:r>
      <w:r w:rsidR="0095380A" w:rsidRPr="0095380A">
        <w:rPr>
          <w:rFonts w:ascii="Arial" w:hAnsi="Arial" w:cs="Arial"/>
          <w:color w:val="000000"/>
          <w:sz w:val="20"/>
          <w:szCs w:val="20"/>
        </w:rPr>
        <w:t>reaching sufficient scores to become B Corp certified.</w:t>
      </w:r>
      <w:r w:rsidR="0095380A" w:rsidRPr="0099614E">
        <w:rPr>
          <w:rFonts w:ascii="Arial" w:hAnsi="Arial" w:cs="Arial"/>
          <w:color w:val="000000"/>
          <w:sz w:val="20"/>
          <w:szCs w:val="20"/>
        </w:rPr>
        <w:t xml:space="preserve"> </w:t>
      </w:r>
      <w:r w:rsidR="007D6F5D" w:rsidRPr="007D6F5D">
        <w:rPr>
          <w:rFonts w:ascii="Arial" w:hAnsi="Arial" w:cs="Arial"/>
          <w:color w:val="000000"/>
          <w:sz w:val="20"/>
          <w:szCs w:val="20"/>
        </w:rPr>
        <w:t>An OEF Public Equity manager engaged with a large multi-national portfolio</w:t>
      </w:r>
      <w:r w:rsidR="007D6F5D">
        <w:rPr>
          <w:rFonts w:ascii="Arial" w:hAnsi="Arial" w:cs="Arial"/>
          <w:color w:val="000000"/>
          <w:sz w:val="20"/>
          <w:szCs w:val="20"/>
        </w:rPr>
        <w:t xml:space="preserve"> </w:t>
      </w:r>
      <w:r w:rsidR="007D6F5D" w:rsidRPr="007D6F5D">
        <w:rPr>
          <w:rFonts w:ascii="Arial" w:hAnsi="Arial" w:cs="Arial"/>
          <w:color w:val="000000"/>
          <w:sz w:val="20"/>
          <w:szCs w:val="20"/>
        </w:rPr>
        <w:t xml:space="preserve">company to develop an SBTi net zero target. Another engaged with </w:t>
      </w:r>
      <w:proofErr w:type="spellStart"/>
      <w:r w:rsidR="007025DC">
        <w:rPr>
          <w:rFonts w:ascii="Arial" w:hAnsi="Arial" w:cs="Arial"/>
          <w:color w:val="000000"/>
          <w:sz w:val="20"/>
          <w:szCs w:val="20"/>
        </w:rPr>
        <w:t>with</w:t>
      </w:r>
      <w:proofErr w:type="spellEnd"/>
      <w:r w:rsidR="007025DC">
        <w:rPr>
          <w:rFonts w:ascii="Arial" w:hAnsi="Arial" w:cs="Arial"/>
          <w:color w:val="000000"/>
          <w:sz w:val="20"/>
          <w:szCs w:val="20"/>
        </w:rPr>
        <w:t xml:space="preserve"> a l</w:t>
      </w:r>
      <w:r w:rsidR="007D6F5D" w:rsidRPr="007D6F5D">
        <w:rPr>
          <w:rFonts w:ascii="Arial" w:hAnsi="Arial" w:cs="Arial"/>
          <w:color w:val="000000"/>
          <w:sz w:val="20"/>
          <w:szCs w:val="20"/>
        </w:rPr>
        <w:t>arge multi-national company on its climate risk management and disclosures</w:t>
      </w:r>
      <w:r w:rsidR="007D6F5D">
        <w:rPr>
          <w:rFonts w:ascii="Arial" w:hAnsi="Arial" w:cs="Arial"/>
          <w:color w:val="000000"/>
          <w:sz w:val="20"/>
          <w:szCs w:val="20"/>
        </w:rPr>
        <w:t xml:space="preserve"> </w:t>
      </w:r>
      <w:r w:rsidR="007D6F5D" w:rsidRPr="007D6F5D">
        <w:rPr>
          <w:rFonts w:ascii="Arial" w:hAnsi="Arial" w:cs="Arial"/>
          <w:color w:val="000000"/>
          <w:sz w:val="20"/>
          <w:szCs w:val="20"/>
        </w:rPr>
        <w:t xml:space="preserve">to the CDP. </w:t>
      </w:r>
      <w:proofErr w:type="spellStart"/>
      <w:r w:rsidR="0095380A"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itself continues to drive sustainability across its direct property estates. This includes a peatland restoration project and </w:t>
      </w:r>
      <w:r w:rsidR="00DA1A75">
        <w:rPr>
          <w:rFonts w:ascii="Arial" w:hAnsi="Arial" w:cs="Arial"/>
          <w:color w:val="000000"/>
          <w:sz w:val="20"/>
          <w:szCs w:val="20"/>
        </w:rPr>
        <w:t>e</w:t>
      </w:r>
      <w:r w:rsidR="00DA1A75" w:rsidRPr="00DA1A75">
        <w:rPr>
          <w:rFonts w:ascii="Arial" w:hAnsi="Arial" w:cs="Arial"/>
          <w:color w:val="000000"/>
          <w:sz w:val="20"/>
          <w:szCs w:val="20"/>
        </w:rPr>
        <w:t>xtensive surveys hav</w:t>
      </w:r>
      <w:r w:rsidR="00DA1A75">
        <w:rPr>
          <w:rFonts w:ascii="Arial" w:hAnsi="Arial" w:cs="Arial"/>
          <w:color w:val="000000"/>
          <w:sz w:val="20"/>
          <w:szCs w:val="20"/>
        </w:rPr>
        <w:t>ing</w:t>
      </w:r>
      <w:r w:rsidR="00DA1A75" w:rsidRPr="00DA1A75">
        <w:rPr>
          <w:rFonts w:ascii="Arial" w:hAnsi="Arial" w:cs="Arial"/>
          <w:color w:val="000000"/>
          <w:sz w:val="20"/>
          <w:szCs w:val="20"/>
        </w:rPr>
        <w:t xml:space="preserve"> been undertaken to record, monitor and enhance the</w:t>
      </w:r>
      <w:r w:rsidR="00245F1C">
        <w:rPr>
          <w:rFonts w:ascii="Arial" w:hAnsi="Arial" w:cs="Arial"/>
          <w:color w:val="000000"/>
          <w:sz w:val="20"/>
          <w:szCs w:val="20"/>
        </w:rPr>
        <w:t xml:space="preserve"> </w:t>
      </w:r>
      <w:r w:rsidR="00DA1A75" w:rsidRPr="00DA1A75">
        <w:rPr>
          <w:rFonts w:ascii="Arial" w:hAnsi="Arial" w:cs="Arial"/>
          <w:color w:val="000000"/>
          <w:sz w:val="20"/>
          <w:szCs w:val="20"/>
        </w:rPr>
        <w:t xml:space="preserve">biodiversity of </w:t>
      </w:r>
      <w:r w:rsidR="00245F1C">
        <w:rPr>
          <w:rFonts w:ascii="Arial" w:hAnsi="Arial" w:cs="Arial"/>
          <w:color w:val="000000"/>
          <w:sz w:val="20"/>
          <w:szCs w:val="20"/>
        </w:rPr>
        <w:t>a natural capital</w:t>
      </w:r>
      <w:r w:rsidR="00DA1A75" w:rsidRPr="00DA1A75">
        <w:rPr>
          <w:rFonts w:ascii="Arial" w:hAnsi="Arial" w:cs="Arial"/>
          <w:color w:val="000000"/>
          <w:sz w:val="20"/>
          <w:szCs w:val="20"/>
        </w:rPr>
        <w:t xml:space="preserve"> estate.</w:t>
      </w:r>
      <w:r w:rsidR="007025DC">
        <w:rPr>
          <w:rFonts w:ascii="Arial" w:hAnsi="Arial" w:cs="Arial"/>
          <w:color w:val="000000"/>
          <w:sz w:val="20"/>
          <w:szCs w:val="20"/>
        </w:rPr>
        <w:t xml:space="preserve"> </w:t>
      </w:r>
    </w:p>
    <w:p w14:paraId="685992CB" w14:textId="77777777" w:rsidR="00D53DCB" w:rsidRPr="0099614E" w:rsidRDefault="00D53DCB" w:rsidP="00D53DCB">
      <w:pPr>
        <w:pStyle w:val="NormalWeb"/>
        <w:shd w:val="clear" w:color="auto" w:fill="FFFFFF"/>
        <w:rPr>
          <w:rFonts w:ascii="Arial" w:hAnsi="Arial" w:cs="Arial"/>
          <w:color w:val="000000"/>
          <w:sz w:val="20"/>
          <w:szCs w:val="20"/>
        </w:rPr>
      </w:pPr>
    </w:p>
    <w:p w14:paraId="4F615BDF" w14:textId="7D61FBCD" w:rsidR="00D53DCB" w:rsidRPr="0099614E" w:rsidRDefault="00D53DCB" w:rsidP="00D53DCB">
      <w:pPr>
        <w:pStyle w:val="NormalWeb"/>
        <w:shd w:val="clear" w:color="auto" w:fill="FFFFFF"/>
        <w:rPr>
          <w:rFonts w:ascii="Arial" w:hAnsi="Arial" w:cs="Arial"/>
          <w:color w:val="000000"/>
          <w:sz w:val="20"/>
          <w:szCs w:val="20"/>
        </w:rPr>
      </w:pPr>
      <w:r w:rsidRPr="00F42829">
        <w:rPr>
          <w:rFonts w:ascii="Arial" w:hAnsi="Arial" w:cs="Arial"/>
          <w:b/>
          <w:bCs/>
          <w:color w:val="000000"/>
          <w:sz w:val="20"/>
          <w:szCs w:val="20"/>
        </w:rPr>
        <w:t>Collaboration:</w:t>
      </w:r>
      <w:r w:rsidRPr="0099614E">
        <w:rPr>
          <w:rFonts w:ascii="Arial" w:hAnsi="Arial" w:cs="Arial"/>
          <w:color w:val="000000"/>
          <w:sz w:val="20"/>
          <w:szCs w:val="20"/>
        </w:rPr>
        <w:t xml:space="preserve">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has forged a </w:t>
      </w:r>
      <w:proofErr w:type="gramStart"/>
      <w:r w:rsidRPr="0099614E">
        <w:rPr>
          <w:rFonts w:ascii="Arial" w:hAnsi="Arial" w:cs="Arial"/>
          <w:color w:val="000000"/>
          <w:sz w:val="20"/>
          <w:szCs w:val="20"/>
        </w:rPr>
        <w:t>wide reaching</w:t>
      </w:r>
      <w:proofErr w:type="gramEnd"/>
      <w:r w:rsidRPr="0099614E">
        <w:rPr>
          <w:rFonts w:ascii="Arial" w:hAnsi="Arial" w:cs="Arial"/>
          <w:color w:val="000000"/>
          <w:sz w:val="20"/>
          <w:szCs w:val="20"/>
        </w:rPr>
        <w:t xml:space="preserve"> professional network. All team members are encouraged to engage with peers to constantly evaluate processes. They take best practice from a variety of frameworks and join organisations that are appropriate to further enhance their sustainability strategy. In 202</w:t>
      </w:r>
      <w:r w:rsidR="005C3ED4">
        <w:rPr>
          <w:rFonts w:ascii="Arial" w:hAnsi="Arial" w:cs="Arial"/>
          <w:color w:val="000000"/>
          <w:sz w:val="20"/>
          <w:szCs w:val="20"/>
        </w:rPr>
        <w:t>4</w:t>
      </w:r>
      <w:r w:rsidRPr="0099614E">
        <w:rPr>
          <w:rFonts w:ascii="Arial" w:hAnsi="Arial" w:cs="Arial"/>
          <w:color w:val="000000"/>
          <w:sz w:val="20"/>
          <w:szCs w:val="20"/>
        </w:rPr>
        <w:t xml:space="preserve"> </w:t>
      </w:r>
      <w:proofErr w:type="spellStart"/>
      <w:r w:rsidRPr="0099614E">
        <w:rPr>
          <w:rFonts w:ascii="Arial" w:hAnsi="Arial" w:cs="Arial"/>
          <w:color w:val="000000"/>
          <w:sz w:val="20"/>
          <w:szCs w:val="20"/>
        </w:rPr>
        <w:t>OUem</w:t>
      </w:r>
      <w:proofErr w:type="spellEnd"/>
      <w:r w:rsidRPr="0099614E">
        <w:rPr>
          <w:rFonts w:ascii="Arial" w:hAnsi="Arial" w:cs="Arial"/>
          <w:color w:val="000000"/>
          <w:sz w:val="20"/>
          <w:szCs w:val="20"/>
        </w:rPr>
        <w:t xml:space="preserve"> team members met with counterparts at other endowments from across the globe. The team also attends and contributes to events driving forward the sustainability agenda across the industry. Team members were invited to present, sit on panels and join round table discussions hosted by ESG networks and groups on sustainability and climate </w:t>
      </w:r>
      <w:r w:rsidR="004D1CC6" w:rsidRPr="0099614E">
        <w:rPr>
          <w:rFonts w:ascii="Arial" w:hAnsi="Arial" w:cs="Arial"/>
          <w:color w:val="000000"/>
          <w:sz w:val="20"/>
          <w:szCs w:val="20"/>
        </w:rPr>
        <w:t>leadership. Further</w:t>
      </w:r>
      <w:r w:rsidRPr="0099614E">
        <w:rPr>
          <w:rFonts w:ascii="Arial" w:hAnsi="Arial" w:cs="Arial"/>
          <w:color w:val="000000"/>
          <w:sz w:val="20"/>
          <w:szCs w:val="20"/>
        </w:rPr>
        <w:t xml:space="preserve"> detail can be found on </w:t>
      </w:r>
      <w:hyperlink r:id="rId20" w:history="1">
        <w:r w:rsidRPr="0099614E">
          <w:rPr>
            <w:color w:val="000000"/>
          </w:rPr>
          <w:t>www.ouem.co.uk</w:t>
        </w:r>
      </w:hyperlink>
      <w:r w:rsidR="00085B41">
        <w:rPr>
          <w:color w:val="000000"/>
        </w:rPr>
        <w:t>.</w:t>
      </w:r>
      <w:r w:rsidRPr="0099614E">
        <w:rPr>
          <w:rFonts w:ascii="Arial" w:hAnsi="Arial" w:cs="Arial"/>
          <w:color w:val="000000"/>
          <w:sz w:val="20"/>
          <w:szCs w:val="20"/>
        </w:rPr>
        <w:t xml:space="preserve"> </w:t>
      </w:r>
    </w:p>
    <w:p w14:paraId="1BC0C53F" w14:textId="74DBB861" w:rsidR="003E1489" w:rsidRDefault="00C42BF2" w:rsidP="006735F8">
      <w:pPr>
        <w:rPr>
          <w:rFonts w:ascii="Arial" w:hAnsi="Arial" w:cs="Arial"/>
          <w:b/>
          <w:sz w:val="20"/>
          <w:szCs w:val="20"/>
        </w:rPr>
      </w:pPr>
      <w:r>
        <w:rPr>
          <w:rFonts w:ascii="Arial" w:hAnsi="Arial" w:cs="Arial"/>
          <w:b/>
          <w:sz w:val="20"/>
          <w:szCs w:val="20"/>
        </w:rPr>
        <w:br w:type="page"/>
      </w:r>
      <w:r w:rsidR="003E1489">
        <w:rPr>
          <w:rFonts w:ascii="Arial" w:hAnsi="Arial" w:cs="Arial"/>
          <w:b/>
          <w:sz w:val="20"/>
          <w:szCs w:val="20"/>
        </w:rPr>
        <w:lastRenderedPageBreak/>
        <w:t>Appendix</w:t>
      </w:r>
      <w:r w:rsidR="00E064DA">
        <w:rPr>
          <w:rFonts w:ascii="Arial" w:hAnsi="Arial" w:cs="Arial"/>
          <w:b/>
          <w:sz w:val="20"/>
          <w:szCs w:val="20"/>
        </w:rPr>
        <w:t xml:space="preserve"> I</w:t>
      </w:r>
    </w:p>
    <w:p w14:paraId="5B3BB7FD" w14:textId="5CC43E04" w:rsidR="00E064DA" w:rsidRDefault="00DA5DDE" w:rsidP="003E1489">
      <w:pPr>
        <w:spacing w:after="240"/>
        <w:jc w:val="both"/>
        <w:rPr>
          <w:rFonts w:ascii="Arial" w:hAnsi="Arial" w:cs="Arial"/>
          <w:b/>
          <w:sz w:val="20"/>
          <w:szCs w:val="20"/>
        </w:rPr>
      </w:pPr>
      <w:r w:rsidRPr="00DA5DDE">
        <w:rPr>
          <w:rFonts w:ascii="Arial" w:hAnsi="Arial" w:cs="Arial"/>
          <w:b/>
          <w:sz w:val="20"/>
          <w:szCs w:val="20"/>
        </w:rPr>
        <w:t>Oxford University Investment Policy Statement</w:t>
      </w:r>
    </w:p>
    <w:p w14:paraId="69FE2BDC" w14:textId="62EC3BBC" w:rsidR="00DA5DDE" w:rsidRPr="008F4354" w:rsidRDefault="00104FE2" w:rsidP="00104FE2">
      <w:pPr>
        <w:pStyle w:val="BodyText"/>
        <w:rPr>
          <w:rFonts w:ascii="Arial" w:hAnsi="Arial" w:cs="Arial"/>
        </w:rPr>
      </w:pPr>
      <w:r w:rsidRPr="008F4354">
        <w:rPr>
          <w:rFonts w:ascii="Arial" w:hAnsi="Arial" w:cs="Arial"/>
        </w:rPr>
        <w:t>Approved by Council on 19 June 2023.</w:t>
      </w:r>
    </w:p>
    <w:p w14:paraId="3186F9E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1. Introduction</w:t>
      </w:r>
    </w:p>
    <w:p w14:paraId="222CE16A"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This document refers to the University of Oxford’s investments. The colleges are separate independent legal entities and have their own investments and investment policies.</w:t>
      </w:r>
    </w:p>
    <w:p w14:paraId="0D08D15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University of Oxford’s endowment </w:t>
      </w:r>
    </w:p>
    <w:p w14:paraId="499AF281"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 Chancellors, Masters and Scholars of the University of Oxford (‘the University’) has a variety of investments which support its financial objective. This objective is to provide long term resources to strengthen and further its pre-eminent position – nationally and internationally – as a place of outstanding learning, teaching, and research; and to enable it to provide additional support to its three core priorities of students, academic posts, and buildings. </w:t>
      </w:r>
    </w:p>
    <w:p w14:paraId="7A40A016"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Since its very beginning, the University has relied on philanthropic support to advance its mission and to sustain academic freedom. Over the centuries, many buildings, institutions, teaching posts, research posts and scholarships have been funded by the generosity of donors. These gifts are often endowment gifts – charitable funds held on trust to be used for the specific benefit of the University (further information is found here: Oxford University Trusts). The University also benefits from investment assets resulting from current philanthropy and innovative fundraising. </w:t>
      </w:r>
    </w:p>
    <w:p w14:paraId="6B5F8BC7"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2. Governance structure</w:t>
      </w:r>
    </w:p>
    <w:p w14:paraId="4B823F23"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2.1  University</w:t>
      </w:r>
      <w:proofErr w:type="gramEnd"/>
      <w:r w:rsidRPr="00502EEB">
        <w:rPr>
          <w:rFonts w:ascii="Arial" w:hAnsi="Arial" w:cs="Arial"/>
          <w:b/>
          <w:sz w:val="20"/>
          <w:szCs w:val="20"/>
        </w:rPr>
        <w:t xml:space="preserve"> Council</w:t>
      </w:r>
    </w:p>
    <w:p w14:paraId="14B4B51F"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Council is the trustee of the University’s investments and it is bound by its fiduciary duties to ensure that investments are managed in accordance with the University’s charitable objectives. The University holds a large amount of funds on trust to be applied for specific purposes narrower than the University’s general purposes of teaching and research – for example for professorial chairs, lectureship posts, scholarship schemes, student bursaries, and academic prizes. As trustee, the University, acting through Council, has ultimate responsibility for these trust funds and their administration. </w:t>
      </w:r>
    </w:p>
    <w:p w14:paraId="3A8D7362"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Council delegates the strategic oversight and supervision of its investments to the Investment Committee; except where investments are the responsibility of the Finance Committee or other bodies; and those held by Societies or Oxford University Press (OUP). Council’s key responsibilities are to set suitable investment objectives and, where relevant, distribution policies, as advised by the Investment Committee. </w:t>
      </w:r>
    </w:p>
    <w:p w14:paraId="3EAFCD9F"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2.2  Investment</w:t>
      </w:r>
      <w:proofErr w:type="gramEnd"/>
      <w:r w:rsidRPr="00502EEB">
        <w:rPr>
          <w:rFonts w:ascii="Arial" w:hAnsi="Arial" w:cs="Arial"/>
          <w:b/>
          <w:sz w:val="20"/>
          <w:szCs w:val="20"/>
        </w:rPr>
        <w:t xml:space="preserve"> Committee</w:t>
      </w:r>
    </w:p>
    <w:p w14:paraId="5B219AAC"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 Investment Committee is responsible for supervising the management of the University of Oxford’s investment assets, as delegated to it. Full details of the Investment Committee’s responsibilities and membership can be found in Council Regulations 15 of 2002, Part 23: The Investment Committee. </w:t>
      </w:r>
    </w:p>
    <w:p w14:paraId="786DAF5F"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There are two sub-committees of the Investment Committee: </w:t>
      </w:r>
      <w:proofErr w:type="gramStart"/>
      <w:r w:rsidRPr="00502EEB">
        <w:rPr>
          <w:rFonts w:ascii="Arial" w:hAnsi="Arial" w:cs="Arial"/>
          <w:bCs/>
          <w:sz w:val="20"/>
          <w:szCs w:val="20"/>
        </w:rPr>
        <w:t>the</w:t>
      </w:r>
      <w:proofErr w:type="gramEnd"/>
      <w:r w:rsidRPr="00502EEB">
        <w:rPr>
          <w:rFonts w:ascii="Arial" w:hAnsi="Arial" w:cs="Arial"/>
          <w:bCs/>
          <w:sz w:val="20"/>
          <w:szCs w:val="20"/>
        </w:rPr>
        <w:t xml:space="preserve"> Valuation Committee and the Ethical Investment Representations Review Subcommittee (EIRRS). EIRRS shall consider representations concerning ethical or socially responsible investment relating to the Investment Policy Statement.</w:t>
      </w:r>
    </w:p>
    <w:p w14:paraId="1491DBE8"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lastRenderedPageBreak/>
        <w:t>For avoidance of doubt, the Investment Committee is not a regulated entity. It sets policies and guidelines but does not make individual investment decisions. Oxford University Endowment Management is the discretionary investment manager of the Oxford Endowment Fund and the University’s Capital Account.</w:t>
      </w:r>
    </w:p>
    <w:p w14:paraId="44D54927"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2.3  Oxford</w:t>
      </w:r>
      <w:proofErr w:type="gramEnd"/>
      <w:r w:rsidRPr="00502EEB">
        <w:rPr>
          <w:rFonts w:ascii="Arial" w:hAnsi="Arial" w:cs="Arial"/>
          <w:b/>
          <w:sz w:val="20"/>
          <w:szCs w:val="20"/>
        </w:rPr>
        <w:t xml:space="preserve"> University Endowment Management</w:t>
      </w:r>
    </w:p>
    <w:p w14:paraId="30403DAB" w14:textId="76F5AC43"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OU Endowment Management (</w:t>
      </w:r>
      <w:proofErr w:type="spellStart"/>
      <w:r w:rsidRPr="00502EEB">
        <w:rPr>
          <w:rFonts w:ascii="Arial" w:hAnsi="Arial" w:cs="Arial"/>
          <w:bCs/>
          <w:sz w:val="20"/>
          <w:szCs w:val="20"/>
        </w:rPr>
        <w:t>OUem</w:t>
      </w:r>
      <w:proofErr w:type="spellEnd"/>
      <w:r w:rsidRPr="00502EEB">
        <w:rPr>
          <w:rFonts w:ascii="Arial" w:hAnsi="Arial" w:cs="Arial"/>
          <w:bCs/>
          <w:sz w:val="20"/>
          <w:szCs w:val="20"/>
        </w:rPr>
        <w:t xml:space="preserve">) is a commercial operating subsidiary of the University of Oxford. </w:t>
      </w:r>
      <w:proofErr w:type="spellStart"/>
      <w:r w:rsidRPr="00502EEB">
        <w:rPr>
          <w:rFonts w:ascii="Arial" w:hAnsi="Arial" w:cs="Arial"/>
          <w:bCs/>
          <w:sz w:val="20"/>
          <w:szCs w:val="20"/>
        </w:rPr>
        <w:t>OUem</w:t>
      </w:r>
      <w:proofErr w:type="spellEnd"/>
      <w:r w:rsidRPr="00502EEB">
        <w:rPr>
          <w:rFonts w:ascii="Arial" w:hAnsi="Arial" w:cs="Arial"/>
          <w:bCs/>
          <w:sz w:val="20"/>
          <w:szCs w:val="20"/>
        </w:rPr>
        <w:t xml:space="preserve"> is authorised and regulated by the Financial Conduct Authority and is an Alternative Investment Fund Manager under the Alternative Investment Fund Managers Directive (AIFMD). </w:t>
      </w:r>
      <w:proofErr w:type="spellStart"/>
      <w:r w:rsidRPr="00502EEB">
        <w:rPr>
          <w:rFonts w:ascii="Arial" w:hAnsi="Arial" w:cs="Arial"/>
          <w:bCs/>
          <w:sz w:val="20"/>
          <w:szCs w:val="20"/>
        </w:rPr>
        <w:t>OUem</w:t>
      </w:r>
      <w:proofErr w:type="spellEnd"/>
      <w:r w:rsidRPr="00502EEB">
        <w:rPr>
          <w:rFonts w:ascii="Arial" w:hAnsi="Arial" w:cs="Arial"/>
          <w:bCs/>
          <w:sz w:val="20"/>
          <w:szCs w:val="20"/>
        </w:rPr>
        <w:t xml:space="preserve"> has a Board of Directors and two sub committees for Audit and Risk Management and Remuneration. Details on </w:t>
      </w:r>
      <w:proofErr w:type="spellStart"/>
      <w:r w:rsidRPr="00502EEB">
        <w:rPr>
          <w:rFonts w:ascii="Arial" w:hAnsi="Arial" w:cs="Arial"/>
          <w:bCs/>
          <w:sz w:val="20"/>
          <w:szCs w:val="20"/>
        </w:rPr>
        <w:t>OUem</w:t>
      </w:r>
      <w:proofErr w:type="spellEnd"/>
      <w:r w:rsidRPr="00502EEB">
        <w:rPr>
          <w:rFonts w:ascii="Arial" w:hAnsi="Arial" w:cs="Arial"/>
          <w:bCs/>
          <w:sz w:val="20"/>
          <w:szCs w:val="20"/>
        </w:rPr>
        <w:t xml:space="preserve"> including the team and its investment approach are available at </w:t>
      </w:r>
      <w:hyperlink r:id="rId21" w:history="1">
        <w:r w:rsidRPr="00F72699">
          <w:rPr>
            <w:rStyle w:val="Hyperlink"/>
            <w:rFonts w:ascii="Arial" w:hAnsi="Arial" w:cs="Arial"/>
            <w:bCs/>
            <w:sz w:val="20"/>
            <w:szCs w:val="20"/>
          </w:rPr>
          <w:t>www.</w:t>
        </w:r>
        <w:r w:rsidRPr="00F72699">
          <w:rPr>
            <w:rStyle w:val="Hyperlink"/>
            <w:rFonts w:ascii="Arial" w:hAnsi="Arial" w:cs="Arial"/>
            <w:bCs/>
            <w:sz w:val="20"/>
            <w:szCs w:val="20"/>
          </w:rPr>
          <w:t>o</w:t>
        </w:r>
        <w:r w:rsidRPr="00F72699">
          <w:rPr>
            <w:rStyle w:val="Hyperlink"/>
            <w:rFonts w:ascii="Arial" w:hAnsi="Arial" w:cs="Arial"/>
            <w:bCs/>
            <w:sz w:val="20"/>
            <w:szCs w:val="20"/>
          </w:rPr>
          <w:t>u</w:t>
        </w:r>
        <w:r w:rsidRPr="00F72699">
          <w:rPr>
            <w:rStyle w:val="Hyperlink"/>
            <w:rFonts w:ascii="Arial" w:hAnsi="Arial" w:cs="Arial"/>
            <w:bCs/>
            <w:sz w:val="20"/>
            <w:szCs w:val="20"/>
          </w:rPr>
          <w:t>em.co.uk</w:t>
        </w:r>
      </w:hyperlink>
      <w:r w:rsidRPr="00502EEB">
        <w:rPr>
          <w:rFonts w:ascii="Arial" w:hAnsi="Arial" w:cs="Arial"/>
          <w:bCs/>
          <w:sz w:val="20"/>
          <w:szCs w:val="20"/>
        </w:rPr>
        <w:t xml:space="preserve">.  </w:t>
      </w:r>
    </w:p>
    <w:p w14:paraId="7DEB87F2"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 Investment Policy </w:t>
      </w:r>
    </w:p>
    <w:p w14:paraId="4FCB4227"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3.1  Investment</w:t>
      </w:r>
      <w:proofErr w:type="gramEnd"/>
      <w:r w:rsidRPr="00502EEB">
        <w:rPr>
          <w:rFonts w:ascii="Arial" w:hAnsi="Arial" w:cs="Arial"/>
          <w:b/>
          <w:sz w:val="20"/>
          <w:szCs w:val="20"/>
        </w:rPr>
        <w:t xml:space="preserve"> objectives and distribution policy </w:t>
      </w:r>
    </w:p>
    <w:p w14:paraId="2DB10216"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University does not have one pool of investment assets; instead, it chooses to manage specific pools of capital according to their time horizon, risk tolerance and liquidity requirements. In doing so it separates perpetuity capital from that which has a requirement to be drawn down more regularly. The University invests its perpetuity capital in the Oxford Endowment Fund and maintains a separate account for its expendable capital. </w:t>
      </w:r>
    </w:p>
    <w:p w14:paraId="60CC0DC2"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3.1.1. Expendable Capital </w:t>
      </w:r>
    </w:p>
    <w:p w14:paraId="0D52CD45"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For this pool of capital, the University chooses to focus on maximum liquidity and low volatility, in order to be able to access a reasonably known sum at the time it is required to be spent. The University has set a specific investment objective of 4.5% nominal per annum over time, with annual volatility managed between 3-5% per annum. The University chooses to implement this by investing in an account managed solely for the University by </w:t>
      </w:r>
      <w:proofErr w:type="spellStart"/>
      <w:r w:rsidRPr="00F72699">
        <w:rPr>
          <w:rFonts w:ascii="Arial" w:hAnsi="Arial" w:cs="Arial"/>
          <w:sz w:val="20"/>
          <w:szCs w:val="20"/>
        </w:rPr>
        <w:t>OUem</w:t>
      </w:r>
      <w:proofErr w:type="spellEnd"/>
      <w:r w:rsidRPr="00F72699">
        <w:rPr>
          <w:rFonts w:ascii="Arial" w:hAnsi="Arial" w:cs="Arial"/>
          <w:sz w:val="20"/>
          <w:szCs w:val="20"/>
        </w:rPr>
        <w:t>, called the Capital Account.</w:t>
      </w:r>
    </w:p>
    <w:p w14:paraId="6A6EE51C"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3.1.2. Perpetuity Capital </w:t>
      </w:r>
    </w:p>
    <w:p w14:paraId="48F4AB08"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The University aims to preserve and grow the value of its perpetuity capital, while providing a sustainable income stream to fund charitable activities.</w:t>
      </w:r>
    </w:p>
    <w:p w14:paraId="01DB6D4A"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In order to implement this objective, the University owns units in the Oxford Endowment Fund, managed by </w:t>
      </w:r>
      <w:proofErr w:type="spellStart"/>
      <w:r w:rsidRPr="00F72699">
        <w:rPr>
          <w:rFonts w:ascii="Arial" w:hAnsi="Arial" w:cs="Arial"/>
          <w:sz w:val="20"/>
          <w:szCs w:val="20"/>
        </w:rPr>
        <w:t>OUem</w:t>
      </w:r>
      <w:proofErr w:type="spellEnd"/>
      <w:r w:rsidRPr="00F72699">
        <w:rPr>
          <w:rFonts w:ascii="Arial" w:hAnsi="Arial" w:cs="Arial"/>
          <w:sz w:val="20"/>
          <w:szCs w:val="20"/>
        </w:rPr>
        <w:t>. This is an investment vehicle where the University, some members of the collegiate University, and a small number of select external UK charities, have pooled their perpetuity capital to gain the scale and expertise of a dedicated investment approach. Details on asset allocation and investment strategy are available here.</w:t>
      </w:r>
    </w:p>
    <w:p w14:paraId="44038082"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specific investment objective of the Oxford Endowment Fund is to grow by an average of 5% per annum, in real terms, and to achieve this at a lower volatility than would be experienced by investing solely in public equity markets. The fund provides an annual distribution which is calculated by taking 4.25% of the rolling average of the last 20 quarters’ NAV, with a floor of the last year’s distribution and a cap of not more than 10% above the previous year’s distribution. </w:t>
      </w:r>
    </w:p>
    <w:p w14:paraId="3E8C2045"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3.2  Sustainability</w:t>
      </w:r>
      <w:proofErr w:type="gramEnd"/>
      <w:r w:rsidRPr="00502EEB">
        <w:rPr>
          <w:rFonts w:ascii="Arial" w:hAnsi="Arial" w:cs="Arial"/>
          <w:b/>
          <w:sz w:val="20"/>
          <w:szCs w:val="20"/>
        </w:rPr>
        <w:t xml:space="preserve"> </w:t>
      </w:r>
    </w:p>
    <w:p w14:paraId="545B3AB3"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3.2.1. Investment time horizon </w:t>
      </w:r>
    </w:p>
    <w:p w14:paraId="3B43D1C6"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University is committed to ensuring that its endowment is managed sustainably and with integrity, to benefit both current beneficiaries and future generations. In order to facilitate this, the University has </w:t>
      </w:r>
      <w:r w:rsidRPr="00F72699">
        <w:rPr>
          <w:rFonts w:ascii="Arial" w:hAnsi="Arial" w:cs="Arial"/>
          <w:sz w:val="20"/>
          <w:szCs w:val="20"/>
        </w:rPr>
        <w:lastRenderedPageBreak/>
        <w:t>chosen to establish its own investment manager, Oxford University Endowment Management (</w:t>
      </w:r>
      <w:proofErr w:type="spellStart"/>
      <w:r w:rsidRPr="00F72699">
        <w:rPr>
          <w:rFonts w:ascii="Arial" w:hAnsi="Arial" w:cs="Arial"/>
          <w:sz w:val="20"/>
          <w:szCs w:val="20"/>
        </w:rPr>
        <w:t>OUem</w:t>
      </w:r>
      <w:proofErr w:type="spellEnd"/>
      <w:r w:rsidRPr="00F72699">
        <w:rPr>
          <w:rFonts w:ascii="Arial" w:hAnsi="Arial" w:cs="Arial"/>
          <w:sz w:val="20"/>
          <w:szCs w:val="20"/>
        </w:rPr>
        <w:t xml:space="preserve">), with a business model that enables investments to be made over its exceptionally long-time horizon. </w:t>
      </w:r>
    </w:p>
    <w:p w14:paraId="4FDE78A5"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importance of managing charitable assets in a sustainable manner is deeply ingrained in </w:t>
      </w:r>
      <w:proofErr w:type="spellStart"/>
      <w:r w:rsidRPr="00F72699">
        <w:rPr>
          <w:rFonts w:ascii="Arial" w:hAnsi="Arial" w:cs="Arial"/>
          <w:sz w:val="20"/>
          <w:szCs w:val="20"/>
        </w:rPr>
        <w:t>OUem’s</w:t>
      </w:r>
      <w:proofErr w:type="spellEnd"/>
      <w:r w:rsidRPr="00F72699">
        <w:rPr>
          <w:rFonts w:ascii="Arial" w:hAnsi="Arial" w:cs="Arial"/>
          <w:sz w:val="20"/>
          <w:szCs w:val="20"/>
        </w:rPr>
        <w:t xml:space="preserve"> company culture and investment philosophy. Incorporating environmental, social and governance (ESG) factors into the investment process is a key risk management tool, rather than a separate activity. Further information on </w:t>
      </w:r>
      <w:proofErr w:type="spellStart"/>
      <w:r w:rsidRPr="00F72699">
        <w:rPr>
          <w:rFonts w:ascii="Arial" w:hAnsi="Arial" w:cs="Arial"/>
          <w:sz w:val="20"/>
          <w:szCs w:val="20"/>
        </w:rPr>
        <w:t>OUem’s</w:t>
      </w:r>
      <w:proofErr w:type="spellEnd"/>
      <w:r w:rsidRPr="00F72699">
        <w:rPr>
          <w:rFonts w:ascii="Arial" w:hAnsi="Arial" w:cs="Arial"/>
          <w:sz w:val="20"/>
          <w:szCs w:val="20"/>
        </w:rPr>
        <w:t xml:space="preserve"> approach to ESG Risk Management is available here. </w:t>
      </w:r>
    </w:p>
    <w:p w14:paraId="0A62ACC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3.2.2. Sustainability member of the Investment Committee</w:t>
      </w:r>
    </w:p>
    <w:p w14:paraId="76FE9351"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Investment Committee has one member appointed, by Council (who may be internal or external), to have recent and relevant expertise in investment management, as well as recent and relevant expertise in environmentally-conscious investment, to review and engage with progress on divestment and engagement. They report to the Chair of the Investment Committee and their role is strategic oversight of environmental sustainability including, but not limited to, reviewing compliance with specific ethical restrictions and progress on net zero targets. </w:t>
      </w:r>
    </w:p>
    <w:p w14:paraId="381E1F7C"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3.2.3. Engagement on Net Zero and Biodiversity Net Gain</w:t>
      </w:r>
    </w:p>
    <w:p w14:paraId="0D51C4D2"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The University is committed to ensuring its investments are part of an integrated approach to achieving net zero Greenhouse Gas emissions and biodiversity net gain by 2035, in line with broader sustainability targets across the University. As set out in Section 2 on Governance, the University’s Council delegates the strategic oversight and supervision of its investments to the Investment Committee. To fulfil the 2020 University Congregation resolution regarding net zero engagement and fossil fuel divestment, the Investment Committee requires the University’s endowment managers (</w:t>
      </w:r>
      <w:proofErr w:type="spellStart"/>
      <w:r w:rsidRPr="00E33C8E">
        <w:rPr>
          <w:rFonts w:ascii="Arial" w:hAnsi="Arial" w:cs="Arial"/>
          <w:sz w:val="20"/>
          <w:szCs w:val="20"/>
        </w:rPr>
        <w:t>OUem</w:t>
      </w:r>
      <w:proofErr w:type="spellEnd"/>
      <w:r w:rsidRPr="00E33C8E">
        <w:rPr>
          <w:rFonts w:ascii="Arial" w:hAnsi="Arial" w:cs="Arial"/>
          <w:sz w:val="20"/>
          <w:szCs w:val="20"/>
        </w:rPr>
        <w:t xml:space="preserve">) to actively engage with fund managers per the Oxford Martin Principles for Climate-Conscious Investment to request evidence of net zero business plans across Oxford’s entire portfolio of investments, including but not limited to fossil fuel companies. The Investment Committee notes the </w:t>
      </w:r>
      <w:proofErr w:type="gramStart"/>
      <w:r w:rsidRPr="00E33C8E">
        <w:rPr>
          <w:rFonts w:ascii="Arial" w:hAnsi="Arial" w:cs="Arial"/>
          <w:sz w:val="20"/>
          <w:szCs w:val="20"/>
        </w:rPr>
        <w:t>long term</w:t>
      </w:r>
      <w:proofErr w:type="gramEnd"/>
      <w:r w:rsidRPr="00E33C8E">
        <w:rPr>
          <w:rFonts w:ascii="Arial" w:hAnsi="Arial" w:cs="Arial"/>
          <w:sz w:val="20"/>
          <w:szCs w:val="20"/>
        </w:rPr>
        <w:t xml:space="preserve"> nature of planning for net zero, and that this request will be best efforts, given the governance and legal structures that </w:t>
      </w:r>
      <w:proofErr w:type="spellStart"/>
      <w:r w:rsidRPr="00E33C8E">
        <w:rPr>
          <w:rFonts w:ascii="Arial" w:hAnsi="Arial" w:cs="Arial"/>
          <w:sz w:val="20"/>
          <w:szCs w:val="20"/>
        </w:rPr>
        <w:t>OUem</w:t>
      </w:r>
      <w:proofErr w:type="spellEnd"/>
      <w:r w:rsidRPr="00E33C8E">
        <w:rPr>
          <w:rFonts w:ascii="Arial" w:hAnsi="Arial" w:cs="Arial"/>
          <w:sz w:val="20"/>
          <w:szCs w:val="20"/>
        </w:rPr>
        <w:t xml:space="preserve"> operates within. The Investment Committee also requires the University’s endowment managers (</w:t>
      </w:r>
      <w:proofErr w:type="spellStart"/>
      <w:r w:rsidRPr="00E33C8E">
        <w:rPr>
          <w:rFonts w:ascii="Arial" w:hAnsi="Arial" w:cs="Arial"/>
          <w:sz w:val="20"/>
          <w:szCs w:val="20"/>
        </w:rPr>
        <w:t>OUem</w:t>
      </w:r>
      <w:proofErr w:type="spellEnd"/>
      <w:r w:rsidRPr="00E33C8E">
        <w:rPr>
          <w:rFonts w:ascii="Arial" w:hAnsi="Arial" w:cs="Arial"/>
          <w:sz w:val="20"/>
          <w:szCs w:val="20"/>
        </w:rPr>
        <w:t>) to review annually any remaining fossil fuel investments for Paris- and IPCC-aligned, hard net zero plans, and requests that the University’s endowment managers (</w:t>
      </w:r>
      <w:proofErr w:type="spellStart"/>
      <w:r w:rsidRPr="00E33C8E">
        <w:rPr>
          <w:rFonts w:ascii="Arial" w:hAnsi="Arial" w:cs="Arial"/>
          <w:sz w:val="20"/>
          <w:szCs w:val="20"/>
        </w:rPr>
        <w:t>OUem</w:t>
      </w:r>
      <w:proofErr w:type="spellEnd"/>
      <w:r w:rsidRPr="00E33C8E">
        <w:rPr>
          <w:rFonts w:ascii="Arial" w:hAnsi="Arial" w:cs="Arial"/>
          <w:sz w:val="20"/>
          <w:szCs w:val="20"/>
        </w:rPr>
        <w:t xml:space="preserve">) communicate a restriction on any fossil fuel companies which fail to meet that standard to all fund managers, and review and reallocate investments as appropriate. Section 3.2.6 outlines how the Investment Committee reports on the above.   </w:t>
      </w:r>
    </w:p>
    <w:p w14:paraId="19B7DA45"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 xml:space="preserve">The University recognises the importance of engagement to identify, avoid and reduce, where applicable, investments’ impact on biodiversity over the long term. To help achieve biodiversity net gain, the University supports the Taskforce on Nature-related Financial Disclosures, a framework for organisations to report and act on evolving nature-related risks. </w:t>
      </w:r>
    </w:p>
    <w:p w14:paraId="756A4293"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3.2.4. Voting</w:t>
      </w:r>
    </w:p>
    <w:p w14:paraId="07F04D03"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 xml:space="preserve">Rather than invest in individual companies, the University owns units in the Oxford Endowment Fund or, for the Capital Account, it owns units in pooled vehicles or may have segregated accounts. On the occasions where the University or </w:t>
      </w:r>
      <w:proofErr w:type="spellStart"/>
      <w:r w:rsidRPr="00E33C8E">
        <w:rPr>
          <w:rFonts w:ascii="Arial" w:hAnsi="Arial" w:cs="Arial"/>
          <w:sz w:val="20"/>
          <w:szCs w:val="20"/>
        </w:rPr>
        <w:t>OUem</w:t>
      </w:r>
      <w:proofErr w:type="spellEnd"/>
      <w:r w:rsidRPr="00E33C8E">
        <w:rPr>
          <w:rFonts w:ascii="Arial" w:hAnsi="Arial" w:cs="Arial"/>
          <w:sz w:val="20"/>
          <w:szCs w:val="20"/>
        </w:rPr>
        <w:t xml:space="preserve">, on the University’s behalf, retains voting rights for an investment through direct ownership, these will be enacted in full and summarised in annual reporting.  </w:t>
      </w:r>
    </w:p>
    <w:p w14:paraId="7A43AD25"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3.2.5. Ethical Investment Restrictions </w:t>
      </w:r>
    </w:p>
    <w:p w14:paraId="3B4E7508"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The University has chosen at various instances to place restrictions on sectors in which it will not hold investments on ethical grounds:</w:t>
      </w:r>
    </w:p>
    <w:p w14:paraId="49C7EF6F" w14:textId="271F33ED" w:rsidR="00502EEB" w:rsidRPr="008F4354" w:rsidRDefault="00502EEB" w:rsidP="008853D0">
      <w:pPr>
        <w:pStyle w:val="BulletList1"/>
        <w:rPr>
          <w:rFonts w:ascii="Arial" w:hAnsi="Arial" w:cs="Arial"/>
        </w:rPr>
      </w:pPr>
      <w:r w:rsidRPr="008F4354">
        <w:rPr>
          <w:rFonts w:ascii="Arial" w:hAnsi="Arial" w:cs="Arial"/>
        </w:rPr>
        <w:t>Direct investment in companies which manufacture arms that are illegal under the Munitions (Prohibitions) Act 2010 or the Landmines Act 1998.</w:t>
      </w:r>
    </w:p>
    <w:p w14:paraId="16395071" w14:textId="77777777" w:rsidR="00502EEB" w:rsidRPr="008F4354" w:rsidRDefault="00502EEB" w:rsidP="008853D0">
      <w:pPr>
        <w:pStyle w:val="BulletList1"/>
        <w:rPr>
          <w:rFonts w:ascii="Arial" w:hAnsi="Arial" w:cs="Arial"/>
        </w:rPr>
      </w:pPr>
      <w:r w:rsidRPr="008F4354">
        <w:rPr>
          <w:rFonts w:ascii="Arial" w:hAnsi="Arial" w:cs="Arial"/>
        </w:rPr>
        <w:lastRenderedPageBreak/>
        <w:t xml:space="preserve">Direct investments in tobacco companies (as defined by UK Cancer Research). </w:t>
      </w:r>
    </w:p>
    <w:p w14:paraId="2FCFADBC" w14:textId="77777777" w:rsidR="00502EEB" w:rsidRPr="008F4354" w:rsidRDefault="00502EEB" w:rsidP="008853D0">
      <w:pPr>
        <w:pStyle w:val="BulletList1"/>
        <w:rPr>
          <w:rFonts w:ascii="Arial" w:hAnsi="Arial" w:cs="Arial"/>
        </w:rPr>
      </w:pPr>
      <w:r w:rsidRPr="008F4354">
        <w:rPr>
          <w:rFonts w:ascii="Arial" w:hAnsi="Arial" w:cs="Arial"/>
        </w:rPr>
        <w:t xml:space="preserve">Direct investment in any fossil fuel exploration and extraction companies, including: coal, oil and gas exploration and extraction; in addition to a ban on thermal coal and oil sands. </w:t>
      </w:r>
    </w:p>
    <w:p w14:paraId="4D48BEFE" w14:textId="77777777" w:rsidR="00502EEB" w:rsidRPr="008F4354" w:rsidRDefault="00502EEB" w:rsidP="008853D0">
      <w:pPr>
        <w:pStyle w:val="BulletList1"/>
        <w:rPr>
          <w:rFonts w:ascii="Arial" w:hAnsi="Arial" w:cs="Arial"/>
        </w:rPr>
      </w:pPr>
      <w:r w:rsidRPr="008F4354">
        <w:rPr>
          <w:rFonts w:ascii="Arial" w:hAnsi="Arial" w:cs="Arial"/>
        </w:rPr>
        <w:t>Investment in funds which invest primarily in the above listed categories of company.</w:t>
      </w:r>
    </w:p>
    <w:p w14:paraId="7AD3EADD"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3.2.6. Reporting </w:t>
      </w:r>
    </w:p>
    <w:p w14:paraId="3D129920" w14:textId="4DE3884C" w:rsidR="003E1489" w:rsidRPr="008853D0" w:rsidRDefault="00502EEB" w:rsidP="003E1489">
      <w:pPr>
        <w:spacing w:after="240"/>
        <w:jc w:val="both"/>
        <w:rPr>
          <w:rFonts w:ascii="Arial" w:hAnsi="Arial" w:cs="Arial"/>
          <w:sz w:val="20"/>
          <w:szCs w:val="20"/>
        </w:rPr>
      </w:pPr>
      <w:r w:rsidRPr="008853D0">
        <w:rPr>
          <w:rFonts w:ascii="Arial" w:hAnsi="Arial" w:cs="Arial"/>
          <w:sz w:val="20"/>
          <w:szCs w:val="20"/>
        </w:rPr>
        <w:t xml:space="preserve">In 2020, University Congregation passed a resolution regarding fossil fuel divestment and net zero. This resolution included aspects of policy, implementation and reporting. These are found here and require the Investment Committee to report to Council annually in a public document on the following: compliance with specific ethical restrictions and divestment, engagement and progress towards net zero targets, with reference to </w:t>
      </w:r>
      <w:proofErr w:type="gramStart"/>
      <w:r w:rsidRPr="008853D0">
        <w:rPr>
          <w:rFonts w:ascii="Arial" w:hAnsi="Arial" w:cs="Arial"/>
          <w:sz w:val="20"/>
          <w:szCs w:val="20"/>
        </w:rPr>
        <w:t>University</w:t>
      </w:r>
      <w:proofErr w:type="gramEnd"/>
      <w:r w:rsidRPr="008853D0">
        <w:rPr>
          <w:rFonts w:ascii="Arial" w:hAnsi="Arial" w:cs="Arial"/>
          <w:sz w:val="20"/>
          <w:szCs w:val="20"/>
        </w:rPr>
        <w:t xml:space="preserve"> research when appropriate, and an annual review of any remaining fossil fuel investments for evidence of Paris- and IPCC-aligned hard net zero plans. The Investment Committee will also provide an update on </w:t>
      </w:r>
      <w:proofErr w:type="spellStart"/>
      <w:r w:rsidRPr="008853D0">
        <w:rPr>
          <w:rFonts w:ascii="Arial" w:hAnsi="Arial" w:cs="Arial"/>
          <w:sz w:val="20"/>
          <w:szCs w:val="20"/>
        </w:rPr>
        <w:t>OUem’s</w:t>
      </w:r>
      <w:proofErr w:type="spellEnd"/>
      <w:r w:rsidRPr="008853D0">
        <w:rPr>
          <w:rFonts w:ascii="Arial" w:hAnsi="Arial" w:cs="Arial"/>
          <w:sz w:val="20"/>
          <w:szCs w:val="20"/>
        </w:rPr>
        <w:t xml:space="preserve"> progress on communicating a restriction to fund managers which may hold fossil fuel companies. The Committee also requires </w:t>
      </w:r>
      <w:proofErr w:type="spellStart"/>
      <w:r w:rsidRPr="008853D0">
        <w:rPr>
          <w:rFonts w:ascii="Arial" w:hAnsi="Arial" w:cs="Arial"/>
          <w:sz w:val="20"/>
          <w:szCs w:val="20"/>
        </w:rPr>
        <w:t>OUem</w:t>
      </w:r>
      <w:proofErr w:type="spellEnd"/>
      <w:r w:rsidRPr="008853D0">
        <w:rPr>
          <w:rFonts w:ascii="Arial" w:hAnsi="Arial" w:cs="Arial"/>
          <w:sz w:val="20"/>
          <w:szCs w:val="20"/>
        </w:rPr>
        <w:t xml:space="preserve"> to report on their actions in the event a fund manager continues to own fossil fuel companies which do not have a net zero plan. This is reported alongside an overview of sustainability and was made available following the June 2023 Council meeting.</w:t>
      </w:r>
    </w:p>
    <w:p w14:paraId="72830503" w14:textId="48D12EB4" w:rsidR="0009332D" w:rsidRPr="008F4354" w:rsidRDefault="0009332D" w:rsidP="000A3D90">
      <w:pPr>
        <w:spacing w:after="240"/>
        <w:jc w:val="both"/>
        <w:rPr>
          <w:rFonts w:ascii="Arial" w:hAnsi="Arial" w:cs="Arial"/>
          <w:sz w:val="20"/>
          <w:szCs w:val="20"/>
        </w:rPr>
      </w:pPr>
    </w:p>
    <w:sectPr w:rsidR="0009332D" w:rsidRPr="008F4354" w:rsidSect="009925AA">
      <w:footerReference w:type="default" r:id="rId22"/>
      <w:footerReference w:type="first" r:id="rId23"/>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2AF" w14:textId="77777777" w:rsidR="00C10C0C" w:rsidRDefault="00C10C0C" w:rsidP="009B54A3">
      <w:pPr>
        <w:spacing w:after="0" w:line="240" w:lineRule="auto"/>
      </w:pPr>
      <w:r>
        <w:separator/>
      </w:r>
    </w:p>
    <w:p w14:paraId="2997A73B" w14:textId="77777777" w:rsidR="00C10C0C" w:rsidRDefault="00C10C0C"/>
  </w:endnote>
  <w:endnote w:type="continuationSeparator" w:id="0">
    <w:p w14:paraId="5F3496C7" w14:textId="77777777" w:rsidR="00C10C0C" w:rsidRDefault="00C10C0C" w:rsidP="009B54A3">
      <w:pPr>
        <w:spacing w:after="0" w:line="240" w:lineRule="auto"/>
      </w:pPr>
      <w:r>
        <w:continuationSeparator/>
      </w:r>
    </w:p>
    <w:p w14:paraId="7F89293B" w14:textId="77777777" w:rsidR="00C10C0C" w:rsidRDefault="00C10C0C"/>
  </w:endnote>
  <w:endnote w:type="continuationNotice" w:id="1">
    <w:p w14:paraId="2AB2C4E2" w14:textId="77777777" w:rsidR="00C10C0C" w:rsidRDefault="00C10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5D16" w14:textId="5D797C4C" w:rsidR="006F3862" w:rsidRPr="00AD1CBB" w:rsidRDefault="006F3862" w:rsidP="006F3862">
    <w:pPr>
      <w:pStyle w:val="Footer"/>
    </w:pPr>
    <w:r>
      <w:tab/>
    </w:r>
    <w:r w:rsidRPr="00AD1CBB">
      <w:fldChar w:fldCharType="begin"/>
    </w:r>
    <w:r w:rsidRPr="00AD1CBB">
      <w:instrText xml:space="preserve"> PAGE   \* MERGEFORMAT </w:instrText>
    </w:r>
    <w:r w:rsidRPr="00AD1CBB">
      <w:fldChar w:fldCharType="separate"/>
    </w:r>
    <w:r>
      <w:rPr>
        <w:noProof/>
      </w:rPr>
      <w:t>2</w:t>
    </w:r>
    <w:r w:rsidRPr="00AD1CBB">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64B6" w14:textId="78E57521" w:rsidR="006F3862" w:rsidRPr="00AD1CBB" w:rsidRDefault="006F3862" w:rsidP="006F3862">
    <w:pPr>
      <w:pStyle w:val="Footer"/>
    </w:pPr>
    <w:r>
      <w:tab/>
    </w:r>
    <w:r w:rsidRPr="00AD1CBB">
      <w:fldChar w:fldCharType="begin"/>
    </w:r>
    <w:r w:rsidRPr="00AD1CBB">
      <w:instrText xml:space="preserve"> PAGE   \* MERGEFORMAT </w:instrText>
    </w:r>
    <w:r w:rsidRPr="00AD1CBB">
      <w:fldChar w:fldCharType="separate"/>
    </w:r>
    <w:r w:rsidR="00D84CBD">
      <w:rPr>
        <w:noProof/>
      </w:rPr>
      <w:t>1</w:t>
    </w:r>
    <w:r w:rsidRPr="00AD1CBB">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26AD" w14:textId="77777777" w:rsidR="00C10C0C" w:rsidRDefault="00C10C0C" w:rsidP="009B54A3">
      <w:pPr>
        <w:spacing w:after="0" w:line="240" w:lineRule="auto"/>
      </w:pPr>
      <w:r>
        <w:separator/>
      </w:r>
    </w:p>
  </w:footnote>
  <w:footnote w:type="continuationSeparator" w:id="0">
    <w:p w14:paraId="44FAB136" w14:textId="77777777" w:rsidR="00C10C0C" w:rsidRDefault="00C10C0C" w:rsidP="009B54A3">
      <w:pPr>
        <w:spacing w:after="0" w:line="240" w:lineRule="auto"/>
      </w:pPr>
      <w:r>
        <w:continuationSeparator/>
      </w:r>
    </w:p>
    <w:p w14:paraId="606D4B58" w14:textId="77777777" w:rsidR="00C10C0C" w:rsidRDefault="00C10C0C"/>
  </w:footnote>
  <w:footnote w:type="continuationNotice" w:id="1">
    <w:p w14:paraId="2C511CEF" w14:textId="77777777" w:rsidR="00C10C0C" w:rsidRDefault="00C10C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6BA"/>
    <w:multiLevelType w:val="multilevel"/>
    <w:tmpl w:val="195094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E42B3"/>
    <w:multiLevelType w:val="multilevel"/>
    <w:tmpl w:val="76D89B94"/>
    <w:styleLink w:val="Numbers"/>
    <w:lvl w:ilvl="0">
      <w:start w:val="1"/>
      <w:numFmt w:val="decimal"/>
      <w:pStyle w:val="NumberedList1"/>
      <w:lvlText w:val="%1."/>
      <w:lvlJc w:val="left"/>
      <w:pPr>
        <w:ind w:left="340" w:hanging="340"/>
      </w:pPr>
      <w:rPr>
        <w:rFonts w:hint="default"/>
      </w:rPr>
    </w:lvl>
    <w:lvl w:ilvl="1">
      <w:start w:val="1"/>
      <w:numFmt w:val="decimal"/>
      <w:pStyle w:val="NumberedList2"/>
      <w:lvlText w:val="%1.%2."/>
      <w:lvlJc w:val="left"/>
      <w:pPr>
        <w:ind w:left="851" w:hanging="511"/>
      </w:pPr>
      <w:rPr>
        <w:rFonts w:hint="default"/>
      </w:rPr>
    </w:lvl>
    <w:lvl w:ilvl="2">
      <w:start w:val="1"/>
      <w:numFmt w:val="decimal"/>
      <w:pStyle w:val="NumberedList3"/>
      <w:lvlText w:val="%1.%2.%3."/>
      <w:lvlJc w:val="left"/>
      <w:pPr>
        <w:ind w:left="1531" w:hanging="680"/>
      </w:pPr>
      <w:rPr>
        <w:rFonts w:hint="default"/>
      </w:rPr>
    </w:lvl>
    <w:lvl w:ilvl="3">
      <w:start w:val="1"/>
      <w:numFmt w:val="decimal"/>
      <w:pStyle w:val="NumberedList4"/>
      <w:lvlText w:val="%4)"/>
      <w:lvlJc w:val="left"/>
      <w:pPr>
        <w:ind w:left="1360" w:hanging="340"/>
      </w:pPr>
      <w:rPr>
        <w:rFonts w:hint="default"/>
      </w:rPr>
    </w:lvl>
    <w:lvl w:ilvl="4">
      <w:start w:val="1"/>
      <w:numFmt w:val="upperLetter"/>
      <w:pStyle w:val="NumberedList5"/>
      <w:lvlText w:val="%5)"/>
      <w:lvlJc w:val="left"/>
      <w:pPr>
        <w:ind w:left="1700" w:hanging="340"/>
      </w:pPr>
      <w:rPr>
        <w:rFonts w:hint="default"/>
      </w:rPr>
    </w:lvl>
    <w:lvl w:ilvl="5">
      <w:start w:val="1"/>
      <w:numFmt w:val="upperRoman"/>
      <w:pStyle w:val="NumberedList6"/>
      <w:lvlText w:val="%6)"/>
      <w:lvlJc w:val="left"/>
      <w:pPr>
        <w:ind w:left="2040" w:hanging="340"/>
      </w:pPr>
      <w:rPr>
        <w:rFonts w:hint="default"/>
      </w:rPr>
    </w:lvl>
    <w:lvl w:ilvl="6">
      <w:start w:val="1"/>
      <w:numFmt w:val="decimal"/>
      <w:pStyle w:val="NumberedList7"/>
      <w:lvlText w:val="(%7)"/>
      <w:lvlJc w:val="left"/>
      <w:pPr>
        <w:ind w:left="2380" w:hanging="340"/>
      </w:pPr>
      <w:rPr>
        <w:rFonts w:hint="default"/>
      </w:rPr>
    </w:lvl>
    <w:lvl w:ilvl="7">
      <w:start w:val="1"/>
      <w:numFmt w:val="upperLetter"/>
      <w:pStyle w:val="NumberedList8"/>
      <w:lvlText w:val="(%8)"/>
      <w:lvlJc w:val="left"/>
      <w:pPr>
        <w:ind w:left="2720" w:hanging="340"/>
      </w:pPr>
      <w:rPr>
        <w:rFonts w:hint="default"/>
      </w:rPr>
    </w:lvl>
    <w:lvl w:ilvl="8">
      <w:start w:val="1"/>
      <w:numFmt w:val="upperRoman"/>
      <w:pStyle w:val="NumberedList9"/>
      <w:lvlText w:val="(%9)"/>
      <w:lvlJc w:val="left"/>
      <w:pPr>
        <w:ind w:left="3060" w:hanging="340"/>
      </w:pPr>
      <w:rPr>
        <w:rFonts w:hint="default"/>
      </w:rPr>
    </w:lvl>
  </w:abstractNum>
  <w:abstractNum w:abstractNumId="2" w15:restartNumberingAfterBreak="0">
    <w:nsid w:val="0E5465B2"/>
    <w:multiLevelType w:val="multilevel"/>
    <w:tmpl w:val="348A0F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2B4291"/>
    <w:multiLevelType w:val="hybridMultilevel"/>
    <w:tmpl w:val="F6C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F1BFA"/>
    <w:multiLevelType w:val="multilevel"/>
    <w:tmpl w:val="CEB2FB1C"/>
    <w:lvl w:ilvl="0">
      <w:start w:val="1"/>
      <w:numFmt w:val="lowerLetter"/>
      <w:lvlText w:val="%1)"/>
      <w:lvlJc w:val="left"/>
      <w:pPr>
        <w:ind w:left="360" w:hanging="360"/>
      </w:pPr>
      <w:rPr>
        <w:rFonts w:ascii="Arial" w:hAnsi="Arial" w:cs="Arial" w:hint="default"/>
        <w:sz w:val="20"/>
        <w:szCs w:val="20"/>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7E80931"/>
    <w:multiLevelType w:val="multilevel"/>
    <w:tmpl w:val="1E8ADBF8"/>
    <w:styleLink w:val="BulletList"/>
    <w:lvl w:ilvl="0">
      <w:start w:val="1"/>
      <w:numFmt w:val="bullet"/>
      <w:pStyle w:val="BulletList1"/>
      <w:lvlText w:val="–"/>
      <w:lvlJc w:val="left"/>
      <w:pPr>
        <w:tabs>
          <w:tab w:val="num" w:pos="700"/>
        </w:tabs>
        <w:ind w:left="700" w:hanging="340"/>
      </w:pPr>
      <w:rPr>
        <w:rFonts w:ascii="Times New Roman" w:hAnsi="Times New Roman" w:cs="Times New Roman" w:hint="default"/>
        <w:color w:val="auto"/>
        <w:sz w:val="20"/>
      </w:rPr>
    </w:lvl>
    <w:lvl w:ilvl="1">
      <w:start w:val="1"/>
      <w:numFmt w:val="bullet"/>
      <w:pStyle w:val="BulletList2"/>
      <w:lvlText w:val="-"/>
      <w:lvlJc w:val="left"/>
      <w:pPr>
        <w:tabs>
          <w:tab w:val="num" w:pos="-1228"/>
        </w:tabs>
        <w:ind w:left="-1228" w:hanging="340"/>
      </w:pPr>
      <w:rPr>
        <w:rFonts w:ascii="Kalinga" w:hAnsi="Kalinga" w:hint="default"/>
        <w:color w:val="auto"/>
        <w:sz w:val="20"/>
      </w:rPr>
    </w:lvl>
    <w:lvl w:ilvl="2">
      <w:start w:val="1"/>
      <w:numFmt w:val="bullet"/>
      <w:pStyle w:val="BulletList3"/>
      <w:lvlText w:val="-"/>
      <w:lvlJc w:val="left"/>
      <w:pPr>
        <w:tabs>
          <w:tab w:val="num" w:pos="-888"/>
        </w:tabs>
        <w:ind w:left="-888" w:hanging="340"/>
      </w:pPr>
      <w:rPr>
        <w:rFonts w:ascii="Kalinga" w:hAnsi="Kalinga" w:hint="default"/>
        <w:color w:val="auto"/>
        <w:sz w:val="20"/>
      </w:rPr>
    </w:lvl>
    <w:lvl w:ilvl="3">
      <w:start w:val="1"/>
      <w:numFmt w:val="bullet"/>
      <w:pStyle w:val="BulletList4"/>
      <w:lvlText w:val="–"/>
      <w:lvlJc w:val="left"/>
      <w:pPr>
        <w:tabs>
          <w:tab w:val="num" w:pos="-548"/>
        </w:tabs>
        <w:ind w:left="-548" w:hanging="340"/>
      </w:pPr>
      <w:rPr>
        <w:rFonts w:ascii="Symbol" w:hAnsi="Symbol" w:hint="default"/>
        <w:sz w:val="20"/>
      </w:rPr>
    </w:lvl>
    <w:lvl w:ilvl="4">
      <w:start w:val="1"/>
      <w:numFmt w:val="bullet"/>
      <w:pStyle w:val="BulletList5"/>
      <w:lvlText w:val="•"/>
      <w:lvlJc w:val="left"/>
      <w:pPr>
        <w:tabs>
          <w:tab w:val="num" w:pos="-208"/>
        </w:tabs>
        <w:ind w:left="-208" w:hanging="340"/>
      </w:pPr>
      <w:rPr>
        <w:rFonts w:ascii="Symbol" w:hAnsi="Symbol" w:hint="default"/>
        <w:color w:val="auto"/>
        <w:sz w:val="20"/>
      </w:rPr>
    </w:lvl>
    <w:lvl w:ilvl="5">
      <w:start w:val="1"/>
      <w:numFmt w:val="bullet"/>
      <w:pStyle w:val="BulletList6"/>
      <w:lvlText w:val="–"/>
      <w:lvlJc w:val="left"/>
      <w:pPr>
        <w:tabs>
          <w:tab w:val="num" w:pos="132"/>
        </w:tabs>
        <w:ind w:left="132" w:hanging="340"/>
      </w:pPr>
      <w:rPr>
        <w:rFonts w:ascii="Symbol" w:hAnsi="Symbol" w:hint="default"/>
        <w:sz w:val="20"/>
      </w:rPr>
    </w:lvl>
    <w:lvl w:ilvl="6">
      <w:start w:val="1"/>
      <w:numFmt w:val="bullet"/>
      <w:pStyle w:val="BulletList7"/>
      <w:lvlText w:val="•"/>
      <w:lvlJc w:val="left"/>
      <w:pPr>
        <w:tabs>
          <w:tab w:val="num" w:pos="472"/>
        </w:tabs>
        <w:ind w:left="472" w:hanging="340"/>
      </w:pPr>
      <w:rPr>
        <w:rFonts w:ascii="Symbol" w:hAnsi="Symbol" w:hint="default"/>
        <w:color w:val="auto"/>
        <w:sz w:val="20"/>
      </w:rPr>
    </w:lvl>
    <w:lvl w:ilvl="7">
      <w:start w:val="1"/>
      <w:numFmt w:val="bullet"/>
      <w:pStyle w:val="BulletList8"/>
      <w:lvlText w:val="–"/>
      <w:lvlJc w:val="left"/>
      <w:pPr>
        <w:tabs>
          <w:tab w:val="num" w:pos="812"/>
        </w:tabs>
        <w:ind w:left="812" w:hanging="340"/>
      </w:pPr>
      <w:rPr>
        <w:rFonts w:ascii="Symbol" w:hAnsi="Symbol" w:hint="default"/>
        <w:sz w:val="20"/>
      </w:rPr>
    </w:lvl>
    <w:lvl w:ilvl="8">
      <w:start w:val="1"/>
      <w:numFmt w:val="bullet"/>
      <w:pStyle w:val="BulletList9"/>
      <w:lvlText w:val="•"/>
      <w:lvlJc w:val="left"/>
      <w:pPr>
        <w:tabs>
          <w:tab w:val="num" w:pos="1152"/>
        </w:tabs>
        <w:ind w:left="1152" w:hanging="340"/>
      </w:pPr>
      <w:rPr>
        <w:rFonts w:ascii="Symbol" w:hAnsi="Symbol" w:hint="default"/>
        <w:color w:val="auto"/>
        <w:sz w:val="20"/>
      </w:rPr>
    </w:lvl>
  </w:abstractNum>
  <w:abstractNum w:abstractNumId="6" w15:restartNumberingAfterBreak="0">
    <w:nsid w:val="3EDF40A0"/>
    <w:multiLevelType w:val="multilevel"/>
    <w:tmpl w:val="195094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682109"/>
    <w:multiLevelType w:val="hybridMultilevel"/>
    <w:tmpl w:val="18143546"/>
    <w:lvl w:ilvl="0" w:tplc="2136A0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F23E26"/>
    <w:multiLevelType w:val="multilevel"/>
    <w:tmpl w:val="7332A1DA"/>
    <w:styleLink w:val="Headings"/>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21" w:hanging="1021"/>
      </w:pPr>
      <w:rPr>
        <w:rFonts w:hint="default"/>
      </w:rPr>
    </w:lvl>
    <w:lvl w:ilvl="5">
      <w:start w:val="1"/>
      <w:numFmt w:val="decimal"/>
      <w:pStyle w:val="Heading6"/>
      <w:lvlText w:val="%1.%2.%3.%4.%5.%6"/>
      <w:lvlJc w:val="left"/>
      <w:pPr>
        <w:ind w:left="1191" w:hanging="1191"/>
      </w:pPr>
      <w:rPr>
        <w:rFonts w:hint="default"/>
      </w:rPr>
    </w:lvl>
    <w:lvl w:ilvl="6">
      <w:start w:val="1"/>
      <w:numFmt w:val="upperLetter"/>
      <w:lvlRestart w:val="0"/>
      <w:pStyle w:val="Heading7"/>
      <w:lvlText w:val="Appendix %7"/>
      <w:lvlJc w:val="left"/>
      <w:pPr>
        <w:ind w:left="1871" w:hanging="1871"/>
      </w:pPr>
      <w:rPr>
        <w:rFonts w:hint="default"/>
      </w:rPr>
    </w:lvl>
    <w:lvl w:ilvl="7">
      <w:start w:val="1"/>
      <w:numFmt w:val="decimal"/>
      <w:pStyle w:val="Heading8"/>
      <w:lvlText w:val="%7.%8"/>
      <w:lvlJc w:val="left"/>
      <w:pPr>
        <w:ind w:left="510" w:hanging="510"/>
      </w:pPr>
      <w:rPr>
        <w:rFonts w:hint="default"/>
      </w:rPr>
    </w:lvl>
    <w:lvl w:ilvl="8">
      <w:start w:val="1"/>
      <w:numFmt w:val="decimal"/>
      <w:pStyle w:val="Heading9"/>
      <w:lvlText w:val="%7.%8.%9"/>
      <w:lvlJc w:val="left"/>
      <w:pPr>
        <w:ind w:left="680" w:hanging="680"/>
      </w:pPr>
      <w:rPr>
        <w:rFonts w:hint="default"/>
      </w:rPr>
    </w:lvl>
  </w:abstractNum>
  <w:abstractNum w:abstractNumId="9" w15:restartNumberingAfterBreak="0">
    <w:nsid w:val="59DD2D54"/>
    <w:multiLevelType w:val="multilevel"/>
    <w:tmpl w:val="5CA6A04C"/>
    <w:lvl w:ilvl="0">
      <w:start w:val="1"/>
      <w:numFmt w:val="decimal"/>
      <w:lvlRestart w:val="0"/>
      <w:pStyle w:val="FARScheduleTitle"/>
      <w:isLgl/>
      <w:lvlText w:val="Schedule %1"/>
      <w:lvlJc w:val="left"/>
      <w:pPr>
        <w:tabs>
          <w:tab w:val="num" w:pos="8931"/>
        </w:tabs>
        <w:ind w:left="8931" w:firstLine="0"/>
      </w:pPr>
      <w:rPr>
        <w:rFonts w:hint="default"/>
        <w:b/>
      </w:rPr>
    </w:lvl>
    <w:lvl w:ilvl="1">
      <w:start w:val="1"/>
      <w:numFmt w:val="decimal"/>
      <w:pStyle w:val="FARSchedulePart"/>
      <w:isLgl/>
      <w:lvlText w:val="Part %2"/>
      <w:lvlJc w:val="left"/>
      <w:pPr>
        <w:tabs>
          <w:tab w:val="num" w:pos="0"/>
        </w:tabs>
        <w:ind w:left="0" w:firstLine="0"/>
      </w:pPr>
      <w:rPr>
        <w:rFonts w:hint="default"/>
        <w:b/>
      </w:rPr>
    </w:lvl>
    <w:lvl w:ilvl="2">
      <w:start w:val="1"/>
      <w:numFmt w:val="decimal"/>
      <w:pStyle w:val="FARSchedule1"/>
      <w:isLgl/>
      <w:lvlText w:val="%3."/>
      <w:lvlJc w:val="left"/>
      <w:pPr>
        <w:tabs>
          <w:tab w:val="num" w:pos="850"/>
        </w:tabs>
        <w:ind w:left="850" w:hanging="850"/>
      </w:pPr>
      <w:rPr>
        <w:rFonts w:hint="default"/>
      </w:rPr>
    </w:lvl>
    <w:lvl w:ilvl="3">
      <w:start w:val="1"/>
      <w:numFmt w:val="decimal"/>
      <w:pStyle w:val="FARSchedule2"/>
      <w:isLgl/>
      <w:lvlText w:val="%3.%4"/>
      <w:lvlJc w:val="left"/>
      <w:pPr>
        <w:tabs>
          <w:tab w:val="num" w:pos="850"/>
        </w:tabs>
        <w:ind w:left="850" w:hanging="850"/>
      </w:pPr>
      <w:rPr>
        <w:rFonts w:hint="default"/>
      </w:rPr>
    </w:lvl>
    <w:lvl w:ilvl="4">
      <w:start w:val="1"/>
      <w:numFmt w:val="decimal"/>
      <w:pStyle w:val="FARSchedule3"/>
      <w:isLgl/>
      <w:lvlText w:val="%3.%4.%5"/>
      <w:lvlJc w:val="left"/>
      <w:pPr>
        <w:tabs>
          <w:tab w:val="num" w:pos="1843"/>
        </w:tabs>
        <w:ind w:left="1843" w:hanging="992"/>
      </w:pPr>
      <w:rPr>
        <w:rFonts w:hint="default"/>
      </w:rPr>
    </w:lvl>
    <w:lvl w:ilvl="5">
      <w:start w:val="1"/>
      <w:numFmt w:val="lowerLetter"/>
      <w:pStyle w:val="FARSchedule4"/>
      <w:lvlText w:val="(%6)"/>
      <w:lvlJc w:val="left"/>
      <w:pPr>
        <w:tabs>
          <w:tab w:val="num" w:pos="2410"/>
        </w:tabs>
        <w:ind w:left="2410" w:hanging="567"/>
      </w:pPr>
      <w:rPr>
        <w:rFonts w:hint="default"/>
      </w:rPr>
    </w:lvl>
    <w:lvl w:ilvl="6">
      <w:start w:val="1"/>
      <w:numFmt w:val="lowerRoman"/>
      <w:pStyle w:val="FARSchedule5"/>
      <w:lvlText w:val="(%7)"/>
      <w:lvlJc w:val="left"/>
      <w:pPr>
        <w:tabs>
          <w:tab w:val="num" w:pos="3119"/>
        </w:tabs>
        <w:ind w:left="3119" w:hanging="709"/>
      </w:pPr>
      <w:rPr>
        <w:rFonts w:hint="default"/>
      </w:rPr>
    </w:lvl>
    <w:lvl w:ilvl="7">
      <w:start w:val="27"/>
      <w:numFmt w:val="lowerLetter"/>
      <w:pStyle w:val="FARSchedule6"/>
      <w:lvlText w:val="(%8)"/>
      <w:lvlJc w:val="left"/>
      <w:pPr>
        <w:tabs>
          <w:tab w:val="num" w:pos="3827"/>
        </w:tabs>
        <w:ind w:left="3827" w:hanging="708"/>
      </w:pPr>
      <w:rPr>
        <w:rFonts w:hint="default"/>
      </w:rPr>
    </w:lvl>
    <w:lvl w:ilvl="8">
      <w:start w:val="1"/>
      <w:numFmt w:val="none"/>
      <w:lvlText w:val="Undefined"/>
      <w:lvlJc w:val="left"/>
      <w:pPr>
        <w:tabs>
          <w:tab w:val="num" w:pos="4252"/>
        </w:tabs>
        <w:ind w:left="4252" w:hanging="850"/>
      </w:pPr>
      <w:rPr>
        <w:rFonts w:hint="default"/>
      </w:rPr>
    </w:lvl>
  </w:abstractNum>
  <w:abstractNum w:abstractNumId="10" w15:restartNumberingAfterBreak="0">
    <w:nsid w:val="69245562"/>
    <w:multiLevelType w:val="hybridMultilevel"/>
    <w:tmpl w:val="B57AB938"/>
    <w:lvl w:ilvl="0" w:tplc="4B00D07E">
      <w:start w:val="2"/>
      <w:numFmt w:val="lowerLetter"/>
      <w:lvlText w:val="%1)"/>
      <w:lvlJc w:val="left"/>
      <w:pPr>
        <w:ind w:left="720" w:hanging="360"/>
      </w:pPr>
      <w:rPr>
        <w:rFonts w:ascii="Arial" w:hAnsi="Arial" w:cs="Arial" w:hint="default"/>
        <w:sz w:val="20"/>
        <w:szCs w:val="2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60825"/>
    <w:multiLevelType w:val="multilevel"/>
    <w:tmpl w:val="9A9AACEC"/>
    <w:name w:val="Headings"/>
    <w:styleLink w:val="Bullets"/>
    <w:lvl w:ilvl="0">
      <w:start w:val="1"/>
      <w:numFmt w:val="bullet"/>
      <w:lvlText w:val="—"/>
      <w:lvlJc w:val="left"/>
      <w:pPr>
        <w:ind w:left="340" w:hanging="340"/>
      </w:pPr>
      <w:rPr>
        <w:rFonts w:asciiTheme="minorHAnsi" w:hAnsiTheme="minorHAnsi" w:hint="default"/>
      </w:rPr>
    </w:lvl>
    <w:lvl w:ilvl="1">
      <w:start w:val="1"/>
      <w:numFmt w:val="bullet"/>
      <w:lvlText w:val="–"/>
      <w:lvlJc w:val="left"/>
      <w:pPr>
        <w:ind w:left="680" w:hanging="340"/>
      </w:pPr>
      <w:rPr>
        <w:rFonts w:asciiTheme="minorHAnsi" w:hAnsiTheme="minorHAnsi" w:hint="default"/>
        <w:color w:val="auto"/>
      </w:rPr>
    </w:lvl>
    <w:lvl w:ilvl="2">
      <w:start w:val="1"/>
      <w:numFmt w:val="bullet"/>
      <w:lvlText w:val="-"/>
      <w:lvlJc w:val="left"/>
      <w:pPr>
        <w:ind w:left="1020" w:hanging="340"/>
      </w:pPr>
      <w:rPr>
        <w:rFonts w:asciiTheme="minorHAnsi" w:hAnsiTheme="minorHAnsi"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6ED70976"/>
    <w:multiLevelType w:val="hybridMultilevel"/>
    <w:tmpl w:val="A9A4642A"/>
    <w:lvl w:ilvl="0" w:tplc="792880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D1C62"/>
    <w:multiLevelType w:val="multilevel"/>
    <w:tmpl w:val="8C7E3302"/>
    <w:name w:val="Legal"/>
    <w:styleLink w:val="Legal"/>
    <w:lvl w:ilvl="0">
      <w:start w:val="1"/>
      <w:numFmt w:val="decimal"/>
      <w:pStyle w:val="Legal1"/>
      <w:isLgl/>
      <w:lvlText w:val="%1"/>
      <w:lvlJc w:val="left"/>
      <w:pPr>
        <w:ind w:left="680" w:hanging="680"/>
      </w:pPr>
      <w:rPr>
        <w:rFonts w:hint="default"/>
      </w:rPr>
    </w:lvl>
    <w:lvl w:ilvl="1">
      <w:start w:val="1"/>
      <w:numFmt w:val="decimal"/>
      <w:pStyle w:val="Legal2"/>
      <w:isLgl/>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14" w15:restartNumberingAfterBreak="0">
    <w:nsid w:val="793824F8"/>
    <w:multiLevelType w:val="hybridMultilevel"/>
    <w:tmpl w:val="69FA0188"/>
    <w:lvl w:ilvl="0" w:tplc="F7D8D9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216115">
    <w:abstractNumId w:val="11"/>
  </w:num>
  <w:num w:numId="2" w16cid:durableId="76439018">
    <w:abstractNumId w:val="13"/>
  </w:num>
  <w:num w:numId="3" w16cid:durableId="1442148006">
    <w:abstractNumId w:val="5"/>
  </w:num>
  <w:num w:numId="4" w16cid:durableId="317996406">
    <w:abstractNumId w:val="8"/>
  </w:num>
  <w:num w:numId="5" w16cid:durableId="773939835">
    <w:abstractNumId w:val="1"/>
  </w:num>
  <w:num w:numId="6" w16cid:durableId="266238318">
    <w:abstractNumId w:val="8"/>
    <w:lvlOverride w:ilvl="0">
      <w:lvl w:ilvl="0">
        <w:start w:val="1"/>
        <w:numFmt w:val="decimal"/>
        <w:pStyle w:val="Heading1"/>
        <w:lvlText w:val="%1."/>
        <w:lvlJc w:val="left"/>
        <w:pPr>
          <w:tabs>
            <w:tab w:val="num" w:pos="510"/>
          </w:tabs>
          <w:ind w:left="510" w:hanging="510"/>
        </w:pPr>
        <w:rPr>
          <w:rFonts w:hint="default"/>
        </w:rPr>
      </w:lvl>
    </w:lvlOverride>
  </w:num>
  <w:num w:numId="7" w16cid:durableId="94060036">
    <w:abstractNumId w:val="9"/>
  </w:num>
  <w:num w:numId="8" w16cid:durableId="74862387">
    <w:abstractNumId w:val="2"/>
  </w:num>
  <w:num w:numId="9" w16cid:durableId="909073510">
    <w:abstractNumId w:val="3"/>
  </w:num>
  <w:num w:numId="10" w16cid:durableId="90321900">
    <w:abstractNumId w:val="6"/>
  </w:num>
  <w:num w:numId="11" w16cid:durableId="620647027">
    <w:abstractNumId w:val="14"/>
  </w:num>
  <w:num w:numId="12" w16cid:durableId="906259214">
    <w:abstractNumId w:val="4"/>
  </w:num>
  <w:num w:numId="13" w16cid:durableId="2137217208">
    <w:abstractNumId w:val="0"/>
  </w:num>
  <w:num w:numId="14" w16cid:durableId="1642660524">
    <w:abstractNumId w:val="12"/>
  </w:num>
  <w:num w:numId="15" w16cid:durableId="1790320931">
    <w:abstractNumId w:val="7"/>
  </w:num>
  <w:num w:numId="16" w16cid:durableId="189535821">
    <w:abstractNumId w:val="10"/>
  </w:num>
  <w:num w:numId="17" w16cid:durableId="13810919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5D"/>
    <w:rsid w:val="00000E1B"/>
    <w:rsid w:val="00003F53"/>
    <w:rsid w:val="000042DB"/>
    <w:rsid w:val="000047C3"/>
    <w:rsid w:val="00005385"/>
    <w:rsid w:val="000066BD"/>
    <w:rsid w:val="000071BB"/>
    <w:rsid w:val="0000758B"/>
    <w:rsid w:val="00007FA8"/>
    <w:rsid w:val="00010172"/>
    <w:rsid w:val="000103EC"/>
    <w:rsid w:val="00010C53"/>
    <w:rsid w:val="00010F65"/>
    <w:rsid w:val="000118C9"/>
    <w:rsid w:val="00012189"/>
    <w:rsid w:val="00012199"/>
    <w:rsid w:val="000127B4"/>
    <w:rsid w:val="00012FBB"/>
    <w:rsid w:val="000133BE"/>
    <w:rsid w:val="00014A9B"/>
    <w:rsid w:val="00014C5D"/>
    <w:rsid w:val="00015D4B"/>
    <w:rsid w:val="00016BAF"/>
    <w:rsid w:val="00021417"/>
    <w:rsid w:val="00022B25"/>
    <w:rsid w:val="00023060"/>
    <w:rsid w:val="000238EB"/>
    <w:rsid w:val="000253B5"/>
    <w:rsid w:val="000258E6"/>
    <w:rsid w:val="0002671C"/>
    <w:rsid w:val="00026F8F"/>
    <w:rsid w:val="000277A4"/>
    <w:rsid w:val="00027DD8"/>
    <w:rsid w:val="000308DA"/>
    <w:rsid w:val="00030A33"/>
    <w:rsid w:val="00030CA4"/>
    <w:rsid w:val="00031B5F"/>
    <w:rsid w:val="00033134"/>
    <w:rsid w:val="0003331F"/>
    <w:rsid w:val="000333DA"/>
    <w:rsid w:val="00034420"/>
    <w:rsid w:val="00034547"/>
    <w:rsid w:val="00035365"/>
    <w:rsid w:val="000358AE"/>
    <w:rsid w:val="000366B0"/>
    <w:rsid w:val="00037134"/>
    <w:rsid w:val="00037F15"/>
    <w:rsid w:val="000414F7"/>
    <w:rsid w:val="0004152F"/>
    <w:rsid w:val="000417A3"/>
    <w:rsid w:val="00041C34"/>
    <w:rsid w:val="00041E87"/>
    <w:rsid w:val="000426A1"/>
    <w:rsid w:val="000429A2"/>
    <w:rsid w:val="00042F96"/>
    <w:rsid w:val="00043202"/>
    <w:rsid w:val="00043241"/>
    <w:rsid w:val="0004372E"/>
    <w:rsid w:val="000444F6"/>
    <w:rsid w:val="00045FC2"/>
    <w:rsid w:val="000463F6"/>
    <w:rsid w:val="000505B8"/>
    <w:rsid w:val="00050923"/>
    <w:rsid w:val="00050DF4"/>
    <w:rsid w:val="000516A1"/>
    <w:rsid w:val="00051E31"/>
    <w:rsid w:val="000522AB"/>
    <w:rsid w:val="000529ED"/>
    <w:rsid w:val="00053655"/>
    <w:rsid w:val="00053B32"/>
    <w:rsid w:val="00053F64"/>
    <w:rsid w:val="00054FCD"/>
    <w:rsid w:val="0005517D"/>
    <w:rsid w:val="000553ED"/>
    <w:rsid w:val="000554D6"/>
    <w:rsid w:val="00056282"/>
    <w:rsid w:val="00057133"/>
    <w:rsid w:val="000602C9"/>
    <w:rsid w:val="00060EB6"/>
    <w:rsid w:val="000625D1"/>
    <w:rsid w:val="000627D7"/>
    <w:rsid w:val="00062F1B"/>
    <w:rsid w:val="0006419A"/>
    <w:rsid w:val="00064A39"/>
    <w:rsid w:val="00064B43"/>
    <w:rsid w:val="00065EBB"/>
    <w:rsid w:val="00066084"/>
    <w:rsid w:val="00066738"/>
    <w:rsid w:val="00067618"/>
    <w:rsid w:val="0006782F"/>
    <w:rsid w:val="00070129"/>
    <w:rsid w:val="0007050B"/>
    <w:rsid w:val="0007150A"/>
    <w:rsid w:val="00072593"/>
    <w:rsid w:val="00072C66"/>
    <w:rsid w:val="00073841"/>
    <w:rsid w:val="00074A2D"/>
    <w:rsid w:val="000751D7"/>
    <w:rsid w:val="00076D29"/>
    <w:rsid w:val="00080F07"/>
    <w:rsid w:val="000810C1"/>
    <w:rsid w:val="000823E9"/>
    <w:rsid w:val="00083271"/>
    <w:rsid w:val="000834E3"/>
    <w:rsid w:val="0008377B"/>
    <w:rsid w:val="000843D3"/>
    <w:rsid w:val="00085435"/>
    <w:rsid w:val="000859F9"/>
    <w:rsid w:val="00085B41"/>
    <w:rsid w:val="00087B0C"/>
    <w:rsid w:val="00090074"/>
    <w:rsid w:val="000910ED"/>
    <w:rsid w:val="000926CC"/>
    <w:rsid w:val="00093234"/>
    <w:rsid w:val="0009332D"/>
    <w:rsid w:val="00093EE2"/>
    <w:rsid w:val="00093EE5"/>
    <w:rsid w:val="0009402E"/>
    <w:rsid w:val="000959BE"/>
    <w:rsid w:val="00095AC1"/>
    <w:rsid w:val="00095CE4"/>
    <w:rsid w:val="0009630F"/>
    <w:rsid w:val="000963BD"/>
    <w:rsid w:val="00096604"/>
    <w:rsid w:val="000A056C"/>
    <w:rsid w:val="000A0D4C"/>
    <w:rsid w:val="000A1736"/>
    <w:rsid w:val="000A20B2"/>
    <w:rsid w:val="000A3D90"/>
    <w:rsid w:val="000A40AA"/>
    <w:rsid w:val="000A4188"/>
    <w:rsid w:val="000A6522"/>
    <w:rsid w:val="000A6799"/>
    <w:rsid w:val="000A78FF"/>
    <w:rsid w:val="000A7E6C"/>
    <w:rsid w:val="000B0137"/>
    <w:rsid w:val="000B092E"/>
    <w:rsid w:val="000B1BCE"/>
    <w:rsid w:val="000B221D"/>
    <w:rsid w:val="000B2235"/>
    <w:rsid w:val="000B2741"/>
    <w:rsid w:val="000B2BB5"/>
    <w:rsid w:val="000B31E7"/>
    <w:rsid w:val="000B394D"/>
    <w:rsid w:val="000B3E65"/>
    <w:rsid w:val="000B44DC"/>
    <w:rsid w:val="000B5243"/>
    <w:rsid w:val="000B5326"/>
    <w:rsid w:val="000B57B8"/>
    <w:rsid w:val="000B5ACB"/>
    <w:rsid w:val="000B5D31"/>
    <w:rsid w:val="000B5F04"/>
    <w:rsid w:val="000B6459"/>
    <w:rsid w:val="000B7815"/>
    <w:rsid w:val="000C09FE"/>
    <w:rsid w:val="000C0AF3"/>
    <w:rsid w:val="000C15E5"/>
    <w:rsid w:val="000C17D6"/>
    <w:rsid w:val="000C2381"/>
    <w:rsid w:val="000C4299"/>
    <w:rsid w:val="000C49C7"/>
    <w:rsid w:val="000C4BF9"/>
    <w:rsid w:val="000C4D8A"/>
    <w:rsid w:val="000C5811"/>
    <w:rsid w:val="000C5A89"/>
    <w:rsid w:val="000C5B5E"/>
    <w:rsid w:val="000C6567"/>
    <w:rsid w:val="000C67C7"/>
    <w:rsid w:val="000C6BF8"/>
    <w:rsid w:val="000C7CFA"/>
    <w:rsid w:val="000C7D07"/>
    <w:rsid w:val="000C7D08"/>
    <w:rsid w:val="000D026D"/>
    <w:rsid w:val="000D0284"/>
    <w:rsid w:val="000D0DBB"/>
    <w:rsid w:val="000D162A"/>
    <w:rsid w:val="000D1AC2"/>
    <w:rsid w:val="000D1F1E"/>
    <w:rsid w:val="000D279A"/>
    <w:rsid w:val="000D2EA1"/>
    <w:rsid w:val="000D3DE2"/>
    <w:rsid w:val="000D45A1"/>
    <w:rsid w:val="000D4CC0"/>
    <w:rsid w:val="000D5242"/>
    <w:rsid w:val="000D6D2D"/>
    <w:rsid w:val="000D7982"/>
    <w:rsid w:val="000E03DE"/>
    <w:rsid w:val="000E04F4"/>
    <w:rsid w:val="000E0FCD"/>
    <w:rsid w:val="000E200F"/>
    <w:rsid w:val="000E2470"/>
    <w:rsid w:val="000E2B11"/>
    <w:rsid w:val="000E2B19"/>
    <w:rsid w:val="000E30B8"/>
    <w:rsid w:val="000E37BC"/>
    <w:rsid w:val="000E4464"/>
    <w:rsid w:val="000E52B6"/>
    <w:rsid w:val="000E55CC"/>
    <w:rsid w:val="000E56F1"/>
    <w:rsid w:val="000E578B"/>
    <w:rsid w:val="000F0816"/>
    <w:rsid w:val="000F12C4"/>
    <w:rsid w:val="000F1E7E"/>
    <w:rsid w:val="000F22DC"/>
    <w:rsid w:val="000F2812"/>
    <w:rsid w:val="000F3F25"/>
    <w:rsid w:val="000F4786"/>
    <w:rsid w:val="000F4F8D"/>
    <w:rsid w:val="000F5BE8"/>
    <w:rsid w:val="000F60FB"/>
    <w:rsid w:val="000F7513"/>
    <w:rsid w:val="000F7DB1"/>
    <w:rsid w:val="001000AF"/>
    <w:rsid w:val="0010010D"/>
    <w:rsid w:val="00101C58"/>
    <w:rsid w:val="00101E77"/>
    <w:rsid w:val="00101E90"/>
    <w:rsid w:val="001023A4"/>
    <w:rsid w:val="00102566"/>
    <w:rsid w:val="00103867"/>
    <w:rsid w:val="0010407F"/>
    <w:rsid w:val="00104FE2"/>
    <w:rsid w:val="00105055"/>
    <w:rsid w:val="0010524C"/>
    <w:rsid w:val="0010587A"/>
    <w:rsid w:val="0011066F"/>
    <w:rsid w:val="00110784"/>
    <w:rsid w:val="00111AE8"/>
    <w:rsid w:val="00112A7D"/>
    <w:rsid w:val="00112D9C"/>
    <w:rsid w:val="00113353"/>
    <w:rsid w:val="001135D2"/>
    <w:rsid w:val="00113A36"/>
    <w:rsid w:val="0011451B"/>
    <w:rsid w:val="00114BF3"/>
    <w:rsid w:val="00116143"/>
    <w:rsid w:val="001165BC"/>
    <w:rsid w:val="00116E56"/>
    <w:rsid w:val="0012041E"/>
    <w:rsid w:val="00120D5F"/>
    <w:rsid w:val="0012346C"/>
    <w:rsid w:val="00123C0B"/>
    <w:rsid w:val="00123EC9"/>
    <w:rsid w:val="00125F0E"/>
    <w:rsid w:val="00127567"/>
    <w:rsid w:val="00130003"/>
    <w:rsid w:val="0013082E"/>
    <w:rsid w:val="00132457"/>
    <w:rsid w:val="00132CAB"/>
    <w:rsid w:val="001333F5"/>
    <w:rsid w:val="00135AF0"/>
    <w:rsid w:val="00136A48"/>
    <w:rsid w:val="0013780A"/>
    <w:rsid w:val="00137963"/>
    <w:rsid w:val="00137AAB"/>
    <w:rsid w:val="001402DF"/>
    <w:rsid w:val="001409BF"/>
    <w:rsid w:val="00140FA1"/>
    <w:rsid w:val="0014412D"/>
    <w:rsid w:val="001448FF"/>
    <w:rsid w:val="00144FDF"/>
    <w:rsid w:val="001463D7"/>
    <w:rsid w:val="00146420"/>
    <w:rsid w:val="00147428"/>
    <w:rsid w:val="0014785C"/>
    <w:rsid w:val="00147911"/>
    <w:rsid w:val="00150367"/>
    <w:rsid w:val="00150369"/>
    <w:rsid w:val="00150905"/>
    <w:rsid w:val="0015372E"/>
    <w:rsid w:val="001546C4"/>
    <w:rsid w:val="0015699F"/>
    <w:rsid w:val="00156A40"/>
    <w:rsid w:val="00157916"/>
    <w:rsid w:val="00157B45"/>
    <w:rsid w:val="00157F44"/>
    <w:rsid w:val="001600A1"/>
    <w:rsid w:val="00160435"/>
    <w:rsid w:val="00162427"/>
    <w:rsid w:val="001635AD"/>
    <w:rsid w:val="00163B65"/>
    <w:rsid w:val="00164662"/>
    <w:rsid w:val="00164DBC"/>
    <w:rsid w:val="00164FC5"/>
    <w:rsid w:val="00166AC0"/>
    <w:rsid w:val="0016758D"/>
    <w:rsid w:val="00170165"/>
    <w:rsid w:val="00170E96"/>
    <w:rsid w:val="00171A55"/>
    <w:rsid w:val="00172EC1"/>
    <w:rsid w:val="0017415E"/>
    <w:rsid w:val="001746ED"/>
    <w:rsid w:val="0017558B"/>
    <w:rsid w:val="00175655"/>
    <w:rsid w:val="001756CE"/>
    <w:rsid w:val="001757C5"/>
    <w:rsid w:val="00175BA9"/>
    <w:rsid w:val="0017634A"/>
    <w:rsid w:val="0017759E"/>
    <w:rsid w:val="00177992"/>
    <w:rsid w:val="001804F5"/>
    <w:rsid w:val="00180FF3"/>
    <w:rsid w:val="00181514"/>
    <w:rsid w:val="00181C1D"/>
    <w:rsid w:val="001830F6"/>
    <w:rsid w:val="001843AD"/>
    <w:rsid w:val="00184CC5"/>
    <w:rsid w:val="00184D7F"/>
    <w:rsid w:val="0018572F"/>
    <w:rsid w:val="00186BBA"/>
    <w:rsid w:val="0018751E"/>
    <w:rsid w:val="0019067D"/>
    <w:rsid w:val="001915FB"/>
    <w:rsid w:val="00191A5B"/>
    <w:rsid w:val="00192164"/>
    <w:rsid w:val="00192838"/>
    <w:rsid w:val="00194740"/>
    <w:rsid w:val="00194EA5"/>
    <w:rsid w:val="001956A5"/>
    <w:rsid w:val="00196178"/>
    <w:rsid w:val="001961AF"/>
    <w:rsid w:val="00196EB8"/>
    <w:rsid w:val="00197159"/>
    <w:rsid w:val="00197298"/>
    <w:rsid w:val="001979E8"/>
    <w:rsid w:val="001A28B1"/>
    <w:rsid w:val="001A3E1A"/>
    <w:rsid w:val="001A3F02"/>
    <w:rsid w:val="001A46C5"/>
    <w:rsid w:val="001A4BD7"/>
    <w:rsid w:val="001A6168"/>
    <w:rsid w:val="001A7218"/>
    <w:rsid w:val="001B1287"/>
    <w:rsid w:val="001B16FE"/>
    <w:rsid w:val="001B266A"/>
    <w:rsid w:val="001B279B"/>
    <w:rsid w:val="001B35D9"/>
    <w:rsid w:val="001B38AB"/>
    <w:rsid w:val="001C000A"/>
    <w:rsid w:val="001C03FC"/>
    <w:rsid w:val="001C0BD4"/>
    <w:rsid w:val="001C0E4A"/>
    <w:rsid w:val="001C2600"/>
    <w:rsid w:val="001C27AA"/>
    <w:rsid w:val="001C2EA5"/>
    <w:rsid w:val="001C3A7B"/>
    <w:rsid w:val="001C523D"/>
    <w:rsid w:val="001C570C"/>
    <w:rsid w:val="001C5721"/>
    <w:rsid w:val="001C6282"/>
    <w:rsid w:val="001C675D"/>
    <w:rsid w:val="001C67CC"/>
    <w:rsid w:val="001D1B61"/>
    <w:rsid w:val="001D47C9"/>
    <w:rsid w:val="001D4CE2"/>
    <w:rsid w:val="001D5041"/>
    <w:rsid w:val="001D628F"/>
    <w:rsid w:val="001D632D"/>
    <w:rsid w:val="001D74F8"/>
    <w:rsid w:val="001D7E2E"/>
    <w:rsid w:val="001E06EF"/>
    <w:rsid w:val="001E0894"/>
    <w:rsid w:val="001E0B07"/>
    <w:rsid w:val="001E13DA"/>
    <w:rsid w:val="001E3C43"/>
    <w:rsid w:val="001E512D"/>
    <w:rsid w:val="001E5BD9"/>
    <w:rsid w:val="001E5C45"/>
    <w:rsid w:val="001E64DE"/>
    <w:rsid w:val="001E71F9"/>
    <w:rsid w:val="001F04F5"/>
    <w:rsid w:val="001F06CA"/>
    <w:rsid w:val="001F17E5"/>
    <w:rsid w:val="001F34AF"/>
    <w:rsid w:val="001F34B8"/>
    <w:rsid w:val="001F3E5C"/>
    <w:rsid w:val="001F484F"/>
    <w:rsid w:val="001F4FAC"/>
    <w:rsid w:val="001F7713"/>
    <w:rsid w:val="001F7FAD"/>
    <w:rsid w:val="00200946"/>
    <w:rsid w:val="002023CC"/>
    <w:rsid w:val="00204099"/>
    <w:rsid w:val="0020419B"/>
    <w:rsid w:val="0020425F"/>
    <w:rsid w:val="00204B27"/>
    <w:rsid w:val="00205362"/>
    <w:rsid w:val="00205FE0"/>
    <w:rsid w:val="002063E1"/>
    <w:rsid w:val="002078CD"/>
    <w:rsid w:val="0021018B"/>
    <w:rsid w:val="00210F17"/>
    <w:rsid w:val="00211504"/>
    <w:rsid w:val="00211A87"/>
    <w:rsid w:val="00211EF8"/>
    <w:rsid w:val="00213582"/>
    <w:rsid w:val="002136C9"/>
    <w:rsid w:val="00213E33"/>
    <w:rsid w:val="002158A3"/>
    <w:rsid w:val="0021640D"/>
    <w:rsid w:val="00217399"/>
    <w:rsid w:val="00217C74"/>
    <w:rsid w:val="00220008"/>
    <w:rsid w:val="00220AD3"/>
    <w:rsid w:val="00220D1E"/>
    <w:rsid w:val="00220D84"/>
    <w:rsid w:val="00220F6F"/>
    <w:rsid w:val="00221DF8"/>
    <w:rsid w:val="00222739"/>
    <w:rsid w:val="0022298C"/>
    <w:rsid w:val="0022389D"/>
    <w:rsid w:val="002243CC"/>
    <w:rsid w:val="002245BC"/>
    <w:rsid w:val="002249B8"/>
    <w:rsid w:val="00225235"/>
    <w:rsid w:val="0022568B"/>
    <w:rsid w:val="00225866"/>
    <w:rsid w:val="00225CBC"/>
    <w:rsid w:val="00226B00"/>
    <w:rsid w:val="00230CD5"/>
    <w:rsid w:val="00230F93"/>
    <w:rsid w:val="00232CE1"/>
    <w:rsid w:val="002336C3"/>
    <w:rsid w:val="002342D7"/>
    <w:rsid w:val="00235C91"/>
    <w:rsid w:val="00236363"/>
    <w:rsid w:val="00236CC0"/>
    <w:rsid w:val="00242181"/>
    <w:rsid w:val="00242469"/>
    <w:rsid w:val="0024270D"/>
    <w:rsid w:val="00243CDB"/>
    <w:rsid w:val="002442D0"/>
    <w:rsid w:val="00244B3A"/>
    <w:rsid w:val="002459F8"/>
    <w:rsid w:val="00245C48"/>
    <w:rsid w:val="00245F1C"/>
    <w:rsid w:val="002468D7"/>
    <w:rsid w:val="00247264"/>
    <w:rsid w:val="0024738C"/>
    <w:rsid w:val="00250B74"/>
    <w:rsid w:val="00250CB8"/>
    <w:rsid w:val="002514EA"/>
    <w:rsid w:val="00251E1A"/>
    <w:rsid w:val="00252087"/>
    <w:rsid w:val="00252F60"/>
    <w:rsid w:val="00253BAB"/>
    <w:rsid w:val="002549DC"/>
    <w:rsid w:val="00255120"/>
    <w:rsid w:val="0025617B"/>
    <w:rsid w:val="00257411"/>
    <w:rsid w:val="0025784B"/>
    <w:rsid w:val="00257ECF"/>
    <w:rsid w:val="002602E8"/>
    <w:rsid w:val="00260B76"/>
    <w:rsid w:val="00260C13"/>
    <w:rsid w:val="0026164F"/>
    <w:rsid w:val="00261A01"/>
    <w:rsid w:val="0026292B"/>
    <w:rsid w:val="00262CCA"/>
    <w:rsid w:val="00263825"/>
    <w:rsid w:val="00264295"/>
    <w:rsid w:val="00264BDE"/>
    <w:rsid w:val="00265259"/>
    <w:rsid w:val="00265559"/>
    <w:rsid w:val="00267350"/>
    <w:rsid w:val="00267727"/>
    <w:rsid w:val="00267F43"/>
    <w:rsid w:val="00270416"/>
    <w:rsid w:val="002706F3"/>
    <w:rsid w:val="00271080"/>
    <w:rsid w:val="0027109D"/>
    <w:rsid w:val="002725E9"/>
    <w:rsid w:val="00272752"/>
    <w:rsid w:val="00272827"/>
    <w:rsid w:val="00272C9F"/>
    <w:rsid w:val="00274322"/>
    <w:rsid w:val="00274473"/>
    <w:rsid w:val="00274D2E"/>
    <w:rsid w:val="002758C7"/>
    <w:rsid w:val="00275DAB"/>
    <w:rsid w:val="002761F6"/>
    <w:rsid w:val="00280B75"/>
    <w:rsid w:val="00280E21"/>
    <w:rsid w:val="00280EAC"/>
    <w:rsid w:val="00283692"/>
    <w:rsid w:val="002836E6"/>
    <w:rsid w:val="00284889"/>
    <w:rsid w:val="00290721"/>
    <w:rsid w:val="00290BBE"/>
    <w:rsid w:val="00291248"/>
    <w:rsid w:val="00291AE6"/>
    <w:rsid w:val="002920E1"/>
    <w:rsid w:val="002922D8"/>
    <w:rsid w:val="00292381"/>
    <w:rsid w:val="0029469B"/>
    <w:rsid w:val="00294A0A"/>
    <w:rsid w:val="00294EF4"/>
    <w:rsid w:val="00295562"/>
    <w:rsid w:val="00296377"/>
    <w:rsid w:val="00296F5D"/>
    <w:rsid w:val="0029776C"/>
    <w:rsid w:val="00297828"/>
    <w:rsid w:val="002A1E5C"/>
    <w:rsid w:val="002A1EDA"/>
    <w:rsid w:val="002A21F3"/>
    <w:rsid w:val="002A2E62"/>
    <w:rsid w:val="002A3C9A"/>
    <w:rsid w:val="002A4627"/>
    <w:rsid w:val="002A4EA8"/>
    <w:rsid w:val="002A4F2D"/>
    <w:rsid w:val="002A640A"/>
    <w:rsid w:val="002A6840"/>
    <w:rsid w:val="002A7319"/>
    <w:rsid w:val="002A7968"/>
    <w:rsid w:val="002A798E"/>
    <w:rsid w:val="002A7AD8"/>
    <w:rsid w:val="002A7DC1"/>
    <w:rsid w:val="002B0737"/>
    <w:rsid w:val="002B0AF8"/>
    <w:rsid w:val="002B19F2"/>
    <w:rsid w:val="002B1FD8"/>
    <w:rsid w:val="002B2DF9"/>
    <w:rsid w:val="002B31FC"/>
    <w:rsid w:val="002B3BF6"/>
    <w:rsid w:val="002B3EF0"/>
    <w:rsid w:val="002B4041"/>
    <w:rsid w:val="002B4DDA"/>
    <w:rsid w:val="002B53E3"/>
    <w:rsid w:val="002B6259"/>
    <w:rsid w:val="002B651B"/>
    <w:rsid w:val="002B65C9"/>
    <w:rsid w:val="002C03AB"/>
    <w:rsid w:val="002C0455"/>
    <w:rsid w:val="002C125D"/>
    <w:rsid w:val="002C1456"/>
    <w:rsid w:val="002C1FEE"/>
    <w:rsid w:val="002C216C"/>
    <w:rsid w:val="002C2E12"/>
    <w:rsid w:val="002C32AF"/>
    <w:rsid w:val="002C53BE"/>
    <w:rsid w:val="002C5E8B"/>
    <w:rsid w:val="002C6A9D"/>
    <w:rsid w:val="002D0239"/>
    <w:rsid w:val="002D0F80"/>
    <w:rsid w:val="002D2070"/>
    <w:rsid w:val="002D2957"/>
    <w:rsid w:val="002D331F"/>
    <w:rsid w:val="002D432C"/>
    <w:rsid w:val="002D6F5C"/>
    <w:rsid w:val="002D7892"/>
    <w:rsid w:val="002E04A5"/>
    <w:rsid w:val="002E1B69"/>
    <w:rsid w:val="002E1F1A"/>
    <w:rsid w:val="002E2705"/>
    <w:rsid w:val="002E2CC5"/>
    <w:rsid w:val="002E2EC8"/>
    <w:rsid w:val="002E2EDA"/>
    <w:rsid w:val="002E3D0A"/>
    <w:rsid w:val="002E452E"/>
    <w:rsid w:val="002E493C"/>
    <w:rsid w:val="002E4E36"/>
    <w:rsid w:val="002E51A2"/>
    <w:rsid w:val="002E53E4"/>
    <w:rsid w:val="002E5E59"/>
    <w:rsid w:val="002E6CFB"/>
    <w:rsid w:val="002E6D7E"/>
    <w:rsid w:val="002E6E1E"/>
    <w:rsid w:val="002E74FB"/>
    <w:rsid w:val="002E78E4"/>
    <w:rsid w:val="002F0420"/>
    <w:rsid w:val="002F2DF7"/>
    <w:rsid w:val="002F32EE"/>
    <w:rsid w:val="002F33C6"/>
    <w:rsid w:val="002F3B20"/>
    <w:rsid w:val="002F61B3"/>
    <w:rsid w:val="002F67C6"/>
    <w:rsid w:val="002F7933"/>
    <w:rsid w:val="00300053"/>
    <w:rsid w:val="00301326"/>
    <w:rsid w:val="00301AE1"/>
    <w:rsid w:val="003030EF"/>
    <w:rsid w:val="003037A2"/>
    <w:rsid w:val="00305C11"/>
    <w:rsid w:val="00305F02"/>
    <w:rsid w:val="003061EB"/>
    <w:rsid w:val="00306958"/>
    <w:rsid w:val="00307444"/>
    <w:rsid w:val="00307F3F"/>
    <w:rsid w:val="00310720"/>
    <w:rsid w:val="00310D85"/>
    <w:rsid w:val="00311450"/>
    <w:rsid w:val="00311565"/>
    <w:rsid w:val="00311C28"/>
    <w:rsid w:val="003128B1"/>
    <w:rsid w:val="00312E4D"/>
    <w:rsid w:val="003131E6"/>
    <w:rsid w:val="003142B4"/>
    <w:rsid w:val="003146B4"/>
    <w:rsid w:val="003149B6"/>
    <w:rsid w:val="00314DE3"/>
    <w:rsid w:val="00314FC2"/>
    <w:rsid w:val="003151F6"/>
    <w:rsid w:val="003159E9"/>
    <w:rsid w:val="00316C29"/>
    <w:rsid w:val="003178E0"/>
    <w:rsid w:val="00317E26"/>
    <w:rsid w:val="00320160"/>
    <w:rsid w:val="003212BF"/>
    <w:rsid w:val="003219EE"/>
    <w:rsid w:val="00323F5E"/>
    <w:rsid w:val="0032446A"/>
    <w:rsid w:val="00324796"/>
    <w:rsid w:val="00326265"/>
    <w:rsid w:val="00326B5D"/>
    <w:rsid w:val="00327E15"/>
    <w:rsid w:val="00331A53"/>
    <w:rsid w:val="00332445"/>
    <w:rsid w:val="0033282F"/>
    <w:rsid w:val="00332CD9"/>
    <w:rsid w:val="003333C3"/>
    <w:rsid w:val="00333D5E"/>
    <w:rsid w:val="00333ED3"/>
    <w:rsid w:val="0033547E"/>
    <w:rsid w:val="00335591"/>
    <w:rsid w:val="00337015"/>
    <w:rsid w:val="00337B5A"/>
    <w:rsid w:val="00340A5E"/>
    <w:rsid w:val="003426BC"/>
    <w:rsid w:val="003427BC"/>
    <w:rsid w:val="00342A9D"/>
    <w:rsid w:val="00343406"/>
    <w:rsid w:val="00343555"/>
    <w:rsid w:val="00344064"/>
    <w:rsid w:val="003447C9"/>
    <w:rsid w:val="00345BFE"/>
    <w:rsid w:val="003466C3"/>
    <w:rsid w:val="00346AA9"/>
    <w:rsid w:val="00346ECB"/>
    <w:rsid w:val="0035234A"/>
    <w:rsid w:val="0035326D"/>
    <w:rsid w:val="00353272"/>
    <w:rsid w:val="003540EA"/>
    <w:rsid w:val="0035427A"/>
    <w:rsid w:val="00354E10"/>
    <w:rsid w:val="00355AFC"/>
    <w:rsid w:val="00356F0E"/>
    <w:rsid w:val="0035728F"/>
    <w:rsid w:val="00360674"/>
    <w:rsid w:val="0036086A"/>
    <w:rsid w:val="00360FFE"/>
    <w:rsid w:val="00363540"/>
    <w:rsid w:val="00365176"/>
    <w:rsid w:val="003651BD"/>
    <w:rsid w:val="00366D97"/>
    <w:rsid w:val="00370391"/>
    <w:rsid w:val="00370BEC"/>
    <w:rsid w:val="00371B33"/>
    <w:rsid w:val="003724F5"/>
    <w:rsid w:val="00372565"/>
    <w:rsid w:val="00372A17"/>
    <w:rsid w:val="00373709"/>
    <w:rsid w:val="003740B0"/>
    <w:rsid w:val="00375275"/>
    <w:rsid w:val="00376C51"/>
    <w:rsid w:val="00377B42"/>
    <w:rsid w:val="00380C68"/>
    <w:rsid w:val="00380DAF"/>
    <w:rsid w:val="003814AB"/>
    <w:rsid w:val="00381E0A"/>
    <w:rsid w:val="0038235F"/>
    <w:rsid w:val="003831DF"/>
    <w:rsid w:val="00383222"/>
    <w:rsid w:val="00383A36"/>
    <w:rsid w:val="00383E98"/>
    <w:rsid w:val="003845A2"/>
    <w:rsid w:val="00386963"/>
    <w:rsid w:val="0038722A"/>
    <w:rsid w:val="003915F7"/>
    <w:rsid w:val="00393226"/>
    <w:rsid w:val="003938CA"/>
    <w:rsid w:val="00393F60"/>
    <w:rsid w:val="00394A08"/>
    <w:rsid w:val="00395832"/>
    <w:rsid w:val="00396A82"/>
    <w:rsid w:val="00397290"/>
    <w:rsid w:val="003A0730"/>
    <w:rsid w:val="003A202D"/>
    <w:rsid w:val="003A2046"/>
    <w:rsid w:val="003A26F8"/>
    <w:rsid w:val="003A3525"/>
    <w:rsid w:val="003A3907"/>
    <w:rsid w:val="003A3D90"/>
    <w:rsid w:val="003A451E"/>
    <w:rsid w:val="003A5C4A"/>
    <w:rsid w:val="003A5F73"/>
    <w:rsid w:val="003A6479"/>
    <w:rsid w:val="003A668D"/>
    <w:rsid w:val="003A69A3"/>
    <w:rsid w:val="003A73C7"/>
    <w:rsid w:val="003B01EA"/>
    <w:rsid w:val="003B07BA"/>
    <w:rsid w:val="003B18A1"/>
    <w:rsid w:val="003B18B4"/>
    <w:rsid w:val="003B1FAD"/>
    <w:rsid w:val="003B3346"/>
    <w:rsid w:val="003B3784"/>
    <w:rsid w:val="003B3E4A"/>
    <w:rsid w:val="003B4A85"/>
    <w:rsid w:val="003B6552"/>
    <w:rsid w:val="003B7A1E"/>
    <w:rsid w:val="003B7BF9"/>
    <w:rsid w:val="003C0C61"/>
    <w:rsid w:val="003C13D7"/>
    <w:rsid w:val="003C167A"/>
    <w:rsid w:val="003C2DBA"/>
    <w:rsid w:val="003C3919"/>
    <w:rsid w:val="003C49DA"/>
    <w:rsid w:val="003C4B9C"/>
    <w:rsid w:val="003C5651"/>
    <w:rsid w:val="003C61E9"/>
    <w:rsid w:val="003C6812"/>
    <w:rsid w:val="003C6A8F"/>
    <w:rsid w:val="003C749C"/>
    <w:rsid w:val="003C7E67"/>
    <w:rsid w:val="003D03E8"/>
    <w:rsid w:val="003D3644"/>
    <w:rsid w:val="003D43D3"/>
    <w:rsid w:val="003D43EE"/>
    <w:rsid w:val="003D477A"/>
    <w:rsid w:val="003D562E"/>
    <w:rsid w:val="003D6945"/>
    <w:rsid w:val="003D7C43"/>
    <w:rsid w:val="003E065D"/>
    <w:rsid w:val="003E0B2E"/>
    <w:rsid w:val="003E1489"/>
    <w:rsid w:val="003E1A44"/>
    <w:rsid w:val="003E227D"/>
    <w:rsid w:val="003E3285"/>
    <w:rsid w:val="003E33E3"/>
    <w:rsid w:val="003E3911"/>
    <w:rsid w:val="003E4EB1"/>
    <w:rsid w:val="003E57E0"/>
    <w:rsid w:val="003E6AFC"/>
    <w:rsid w:val="003E7938"/>
    <w:rsid w:val="003E79D8"/>
    <w:rsid w:val="003E7C56"/>
    <w:rsid w:val="003F0674"/>
    <w:rsid w:val="003F0B62"/>
    <w:rsid w:val="003F3C09"/>
    <w:rsid w:val="003F406C"/>
    <w:rsid w:val="003F432C"/>
    <w:rsid w:val="003F4CA9"/>
    <w:rsid w:val="003F4EAB"/>
    <w:rsid w:val="003F65E1"/>
    <w:rsid w:val="003F68DD"/>
    <w:rsid w:val="003F6C3A"/>
    <w:rsid w:val="003F6EEA"/>
    <w:rsid w:val="003F7178"/>
    <w:rsid w:val="004004B4"/>
    <w:rsid w:val="00402E89"/>
    <w:rsid w:val="004034EA"/>
    <w:rsid w:val="00404552"/>
    <w:rsid w:val="00404690"/>
    <w:rsid w:val="00404FD9"/>
    <w:rsid w:val="00407645"/>
    <w:rsid w:val="00410571"/>
    <w:rsid w:val="00410A2E"/>
    <w:rsid w:val="00410A56"/>
    <w:rsid w:val="00410D83"/>
    <w:rsid w:val="00410F4D"/>
    <w:rsid w:val="00411B20"/>
    <w:rsid w:val="00411BD2"/>
    <w:rsid w:val="00411CCB"/>
    <w:rsid w:val="00412B77"/>
    <w:rsid w:val="00415388"/>
    <w:rsid w:val="0041539B"/>
    <w:rsid w:val="00415B86"/>
    <w:rsid w:val="00415D25"/>
    <w:rsid w:val="0041607B"/>
    <w:rsid w:val="004160DA"/>
    <w:rsid w:val="00417523"/>
    <w:rsid w:val="004206AE"/>
    <w:rsid w:val="00421672"/>
    <w:rsid w:val="00421D3A"/>
    <w:rsid w:val="00422063"/>
    <w:rsid w:val="004220C3"/>
    <w:rsid w:val="0042257D"/>
    <w:rsid w:val="00422836"/>
    <w:rsid w:val="0042326F"/>
    <w:rsid w:val="004237AB"/>
    <w:rsid w:val="004244DD"/>
    <w:rsid w:val="00424B1F"/>
    <w:rsid w:val="004254C1"/>
    <w:rsid w:val="00425F27"/>
    <w:rsid w:val="004261E1"/>
    <w:rsid w:val="00426971"/>
    <w:rsid w:val="00426AF8"/>
    <w:rsid w:val="00427E87"/>
    <w:rsid w:val="004301AC"/>
    <w:rsid w:val="004304F2"/>
    <w:rsid w:val="00431CA0"/>
    <w:rsid w:val="0043276F"/>
    <w:rsid w:val="0043309E"/>
    <w:rsid w:val="00433BE7"/>
    <w:rsid w:val="00434598"/>
    <w:rsid w:val="00435AFD"/>
    <w:rsid w:val="0043657B"/>
    <w:rsid w:val="0043688E"/>
    <w:rsid w:val="00436CED"/>
    <w:rsid w:val="004370F1"/>
    <w:rsid w:val="00437B4E"/>
    <w:rsid w:val="00437D80"/>
    <w:rsid w:val="00440F95"/>
    <w:rsid w:val="0044349F"/>
    <w:rsid w:val="004435D5"/>
    <w:rsid w:val="004436B2"/>
    <w:rsid w:val="004438CE"/>
    <w:rsid w:val="0044477A"/>
    <w:rsid w:val="004448FA"/>
    <w:rsid w:val="00444B48"/>
    <w:rsid w:val="00444C91"/>
    <w:rsid w:val="00444F67"/>
    <w:rsid w:val="004456E6"/>
    <w:rsid w:val="00445B4C"/>
    <w:rsid w:val="00446532"/>
    <w:rsid w:val="00446AF1"/>
    <w:rsid w:val="00447571"/>
    <w:rsid w:val="00447F13"/>
    <w:rsid w:val="00450E5A"/>
    <w:rsid w:val="00451233"/>
    <w:rsid w:val="004518BE"/>
    <w:rsid w:val="00451A0C"/>
    <w:rsid w:val="004535EC"/>
    <w:rsid w:val="004537C8"/>
    <w:rsid w:val="00454F5C"/>
    <w:rsid w:val="004555AB"/>
    <w:rsid w:val="00455DEE"/>
    <w:rsid w:val="00456135"/>
    <w:rsid w:val="00456797"/>
    <w:rsid w:val="00456BBC"/>
    <w:rsid w:val="00456D17"/>
    <w:rsid w:val="00457C91"/>
    <w:rsid w:val="004600DC"/>
    <w:rsid w:val="00460DB7"/>
    <w:rsid w:val="004612FD"/>
    <w:rsid w:val="00461C51"/>
    <w:rsid w:val="00462CD7"/>
    <w:rsid w:val="00463062"/>
    <w:rsid w:val="004633C1"/>
    <w:rsid w:val="0046456B"/>
    <w:rsid w:val="00464CFC"/>
    <w:rsid w:val="00465F42"/>
    <w:rsid w:val="004670E4"/>
    <w:rsid w:val="004678C8"/>
    <w:rsid w:val="00467E94"/>
    <w:rsid w:val="004708BC"/>
    <w:rsid w:val="0047240F"/>
    <w:rsid w:val="004726ED"/>
    <w:rsid w:val="00472F4F"/>
    <w:rsid w:val="00473535"/>
    <w:rsid w:val="0047434B"/>
    <w:rsid w:val="00474631"/>
    <w:rsid w:val="00474C57"/>
    <w:rsid w:val="00474DFF"/>
    <w:rsid w:val="004751D9"/>
    <w:rsid w:val="00475260"/>
    <w:rsid w:val="00475553"/>
    <w:rsid w:val="00476509"/>
    <w:rsid w:val="004766E6"/>
    <w:rsid w:val="004769B3"/>
    <w:rsid w:val="00476A8C"/>
    <w:rsid w:val="004772CB"/>
    <w:rsid w:val="004774A7"/>
    <w:rsid w:val="00480D21"/>
    <w:rsid w:val="004811AA"/>
    <w:rsid w:val="004831CD"/>
    <w:rsid w:val="00483C7E"/>
    <w:rsid w:val="00484831"/>
    <w:rsid w:val="00484B0B"/>
    <w:rsid w:val="00484E91"/>
    <w:rsid w:val="00484FC5"/>
    <w:rsid w:val="004861D8"/>
    <w:rsid w:val="00486AE9"/>
    <w:rsid w:val="004872F0"/>
    <w:rsid w:val="00487898"/>
    <w:rsid w:val="00487FDE"/>
    <w:rsid w:val="00490C9A"/>
    <w:rsid w:val="0049114A"/>
    <w:rsid w:val="00491A38"/>
    <w:rsid w:val="00492220"/>
    <w:rsid w:val="00492449"/>
    <w:rsid w:val="00492FF4"/>
    <w:rsid w:val="00493204"/>
    <w:rsid w:val="00493EAE"/>
    <w:rsid w:val="00494420"/>
    <w:rsid w:val="00495137"/>
    <w:rsid w:val="00495B99"/>
    <w:rsid w:val="0049650A"/>
    <w:rsid w:val="004968F0"/>
    <w:rsid w:val="00497271"/>
    <w:rsid w:val="004A10FD"/>
    <w:rsid w:val="004A2BE8"/>
    <w:rsid w:val="004A3D07"/>
    <w:rsid w:val="004A4D8E"/>
    <w:rsid w:val="004A5180"/>
    <w:rsid w:val="004A5375"/>
    <w:rsid w:val="004A569D"/>
    <w:rsid w:val="004A6893"/>
    <w:rsid w:val="004B0621"/>
    <w:rsid w:val="004B11AD"/>
    <w:rsid w:val="004B1249"/>
    <w:rsid w:val="004B1934"/>
    <w:rsid w:val="004B27FA"/>
    <w:rsid w:val="004B283B"/>
    <w:rsid w:val="004B37A9"/>
    <w:rsid w:val="004B4AC4"/>
    <w:rsid w:val="004B4D40"/>
    <w:rsid w:val="004B6420"/>
    <w:rsid w:val="004B6737"/>
    <w:rsid w:val="004B6797"/>
    <w:rsid w:val="004B686D"/>
    <w:rsid w:val="004B6DDA"/>
    <w:rsid w:val="004B6E11"/>
    <w:rsid w:val="004B7F68"/>
    <w:rsid w:val="004C0F49"/>
    <w:rsid w:val="004C253C"/>
    <w:rsid w:val="004C25C5"/>
    <w:rsid w:val="004C279F"/>
    <w:rsid w:val="004C2984"/>
    <w:rsid w:val="004C2BD1"/>
    <w:rsid w:val="004C2C41"/>
    <w:rsid w:val="004C2E68"/>
    <w:rsid w:val="004C2EC5"/>
    <w:rsid w:val="004C4C73"/>
    <w:rsid w:val="004C658A"/>
    <w:rsid w:val="004C79D5"/>
    <w:rsid w:val="004C7C5B"/>
    <w:rsid w:val="004D0F29"/>
    <w:rsid w:val="004D1BAE"/>
    <w:rsid w:val="004D1CC6"/>
    <w:rsid w:val="004D20C3"/>
    <w:rsid w:val="004D270A"/>
    <w:rsid w:val="004D33EA"/>
    <w:rsid w:val="004D387C"/>
    <w:rsid w:val="004D3B17"/>
    <w:rsid w:val="004D3B5E"/>
    <w:rsid w:val="004D3BCE"/>
    <w:rsid w:val="004D4C11"/>
    <w:rsid w:val="004D5D25"/>
    <w:rsid w:val="004D5F48"/>
    <w:rsid w:val="004D6457"/>
    <w:rsid w:val="004D7567"/>
    <w:rsid w:val="004E15FE"/>
    <w:rsid w:val="004E297D"/>
    <w:rsid w:val="004E2B11"/>
    <w:rsid w:val="004E2B3E"/>
    <w:rsid w:val="004E3141"/>
    <w:rsid w:val="004E323F"/>
    <w:rsid w:val="004E373E"/>
    <w:rsid w:val="004E3944"/>
    <w:rsid w:val="004E4DD7"/>
    <w:rsid w:val="004E53FA"/>
    <w:rsid w:val="004E5727"/>
    <w:rsid w:val="004E5FA7"/>
    <w:rsid w:val="004E6AFC"/>
    <w:rsid w:val="004E742A"/>
    <w:rsid w:val="004E748D"/>
    <w:rsid w:val="004E7AE3"/>
    <w:rsid w:val="004F027C"/>
    <w:rsid w:val="004F04C0"/>
    <w:rsid w:val="004F0C11"/>
    <w:rsid w:val="004F3636"/>
    <w:rsid w:val="004F3BA1"/>
    <w:rsid w:val="004F4081"/>
    <w:rsid w:val="004F4418"/>
    <w:rsid w:val="004F4D85"/>
    <w:rsid w:val="00500425"/>
    <w:rsid w:val="0050042A"/>
    <w:rsid w:val="00501BE2"/>
    <w:rsid w:val="00502281"/>
    <w:rsid w:val="00502E91"/>
    <w:rsid w:val="00502EEB"/>
    <w:rsid w:val="00503935"/>
    <w:rsid w:val="00503ABC"/>
    <w:rsid w:val="00503D06"/>
    <w:rsid w:val="00504CA4"/>
    <w:rsid w:val="005060D0"/>
    <w:rsid w:val="00507064"/>
    <w:rsid w:val="00507FF2"/>
    <w:rsid w:val="0051050A"/>
    <w:rsid w:val="005109B8"/>
    <w:rsid w:val="005114B4"/>
    <w:rsid w:val="00512096"/>
    <w:rsid w:val="0051267B"/>
    <w:rsid w:val="00512E91"/>
    <w:rsid w:val="005138F4"/>
    <w:rsid w:val="00513A78"/>
    <w:rsid w:val="00513C06"/>
    <w:rsid w:val="00513FC7"/>
    <w:rsid w:val="00514E10"/>
    <w:rsid w:val="0051608C"/>
    <w:rsid w:val="005177EF"/>
    <w:rsid w:val="00520E3D"/>
    <w:rsid w:val="00521834"/>
    <w:rsid w:val="005223A0"/>
    <w:rsid w:val="005234C9"/>
    <w:rsid w:val="00523E6D"/>
    <w:rsid w:val="00523FF3"/>
    <w:rsid w:val="005240BF"/>
    <w:rsid w:val="005240FA"/>
    <w:rsid w:val="00524B24"/>
    <w:rsid w:val="005251E8"/>
    <w:rsid w:val="0052657A"/>
    <w:rsid w:val="00526B06"/>
    <w:rsid w:val="00526DA3"/>
    <w:rsid w:val="0053031E"/>
    <w:rsid w:val="00530B40"/>
    <w:rsid w:val="00530B55"/>
    <w:rsid w:val="0053248F"/>
    <w:rsid w:val="00532949"/>
    <w:rsid w:val="00532CCD"/>
    <w:rsid w:val="00533BA5"/>
    <w:rsid w:val="005367B1"/>
    <w:rsid w:val="00536C7F"/>
    <w:rsid w:val="005375D5"/>
    <w:rsid w:val="00537642"/>
    <w:rsid w:val="005400D1"/>
    <w:rsid w:val="00541953"/>
    <w:rsid w:val="00542395"/>
    <w:rsid w:val="00542546"/>
    <w:rsid w:val="00543A37"/>
    <w:rsid w:val="00543FBA"/>
    <w:rsid w:val="00544111"/>
    <w:rsid w:val="00545AA3"/>
    <w:rsid w:val="0054612C"/>
    <w:rsid w:val="0054687C"/>
    <w:rsid w:val="00547A4A"/>
    <w:rsid w:val="005505C9"/>
    <w:rsid w:val="00550C5F"/>
    <w:rsid w:val="00551074"/>
    <w:rsid w:val="005516B9"/>
    <w:rsid w:val="00554110"/>
    <w:rsid w:val="005546F0"/>
    <w:rsid w:val="00555092"/>
    <w:rsid w:val="005553DF"/>
    <w:rsid w:val="00555515"/>
    <w:rsid w:val="005556EE"/>
    <w:rsid w:val="0055583E"/>
    <w:rsid w:val="0055597D"/>
    <w:rsid w:val="00555B10"/>
    <w:rsid w:val="00556BAE"/>
    <w:rsid w:val="00560786"/>
    <w:rsid w:val="005611F5"/>
    <w:rsid w:val="00561983"/>
    <w:rsid w:val="005625CC"/>
    <w:rsid w:val="005640BF"/>
    <w:rsid w:val="00564A17"/>
    <w:rsid w:val="00564A79"/>
    <w:rsid w:val="00564AA7"/>
    <w:rsid w:val="00564C0D"/>
    <w:rsid w:val="00564F24"/>
    <w:rsid w:val="00564F81"/>
    <w:rsid w:val="005670FA"/>
    <w:rsid w:val="00567C2F"/>
    <w:rsid w:val="0057090E"/>
    <w:rsid w:val="00570D6F"/>
    <w:rsid w:val="005713B5"/>
    <w:rsid w:val="00571FA4"/>
    <w:rsid w:val="00573123"/>
    <w:rsid w:val="00573314"/>
    <w:rsid w:val="005736FE"/>
    <w:rsid w:val="00573ABF"/>
    <w:rsid w:val="005740DE"/>
    <w:rsid w:val="0057419F"/>
    <w:rsid w:val="005751FF"/>
    <w:rsid w:val="00575C98"/>
    <w:rsid w:val="00575CC8"/>
    <w:rsid w:val="005761EF"/>
    <w:rsid w:val="00576284"/>
    <w:rsid w:val="00576730"/>
    <w:rsid w:val="00577329"/>
    <w:rsid w:val="005779AE"/>
    <w:rsid w:val="00580105"/>
    <w:rsid w:val="00580161"/>
    <w:rsid w:val="00580A38"/>
    <w:rsid w:val="00581D7B"/>
    <w:rsid w:val="00581E6B"/>
    <w:rsid w:val="005821EF"/>
    <w:rsid w:val="0058259F"/>
    <w:rsid w:val="00582E15"/>
    <w:rsid w:val="005831E5"/>
    <w:rsid w:val="00583AA5"/>
    <w:rsid w:val="0058417B"/>
    <w:rsid w:val="005843C3"/>
    <w:rsid w:val="0058449A"/>
    <w:rsid w:val="005844C4"/>
    <w:rsid w:val="005846AC"/>
    <w:rsid w:val="00585A4A"/>
    <w:rsid w:val="00585DD4"/>
    <w:rsid w:val="00585E4F"/>
    <w:rsid w:val="005865E4"/>
    <w:rsid w:val="0058787A"/>
    <w:rsid w:val="005907E4"/>
    <w:rsid w:val="00591AEA"/>
    <w:rsid w:val="00592E32"/>
    <w:rsid w:val="005936B1"/>
    <w:rsid w:val="00593B91"/>
    <w:rsid w:val="00594E0B"/>
    <w:rsid w:val="00595440"/>
    <w:rsid w:val="005963C1"/>
    <w:rsid w:val="00596C82"/>
    <w:rsid w:val="005972EC"/>
    <w:rsid w:val="00597798"/>
    <w:rsid w:val="005A36B2"/>
    <w:rsid w:val="005A38E8"/>
    <w:rsid w:val="005A4290"/>
    <w:rsid w:val="005A4A0F"/>
    <w:rsid w:val="005A4AA3"/>
    <w:rsid w:val="005A4BD6"/>
    <w:rsid w:val="005A6C3D"/>
    <w:rsid w:val="005A70F1"/>
    <w:rsid w:val="005A736E"/>
    <w:rsid w:val="005A7A42"/>
    <w:rsid w:val="005A7F67"/>
    <w:rsid w:val="005B012F"/>
    <w:rsid w:val="005B01C0"/>
    <w:rsid w:val="005B0208"/>
    <w:rsid w:val="005B1455"/>
    <w:rsid w:val="005B27FB"/>
    <w:rsid w:val="005B3C67"/>
    <w:rsid w:val="005B3F8D"/>
    <w:rsid w:val="005B4179"/>
    <w:rsid w:val="005B5B45"/>
    <w:rsid w:val="005B6877"/>
    <w:rsid w:val="005B72EC"/>
    <w:rsid w:val="005B79F0"/>
    <w:rsid w:val="005B7D83"/>
    <w:rsid w:val="005C08FD"/>
    <w:rsid w:val="005C128F"/>
    <w:rsid w:val="005C139A"/>
    <w:rsid w:val="005C201F"/>
    <w:rsid w:val="005C2E4F"/>
    <w:rsid w:val="005C38A3"/>
    <w:rsid w:val="005C3ED4"/>
    <w:rsid w:val="005C4623"/>
    <w:rsid w:val="005C4B95"/>
    <w:rsid w:val="005C4D2C"/>
    <w:rsid w:val="005C51B6"/>
    <w:rsid w:val="005C5F34"/>
    <w:rsid w:val="005C6759"/>
    <w:rsid w:val="005C68AA"/>
    <w:rsid w:val="005C6B88"/>
    <w:rsid w:val="005C6E49"/>
    <w:rsid w:val="005C7629"/>
    <w:rsid w:val="005C79EB"/>
    <w:rsid w:val="005C7F47"/>
    <w:rsid w:val="005D2B26"/>
    <w:rsid w:val="005D453C"/>
    <w:rsid w:val="005D542F"/>
    <w:rsid w:val="005D5AFC"/>
    <w:rsid w:val="005D6198"/>
    <w:rsid w:val="005D63FE"/>
    <w:rsid w:val="005D64D3"/>
    <w:rsid w:val="005D64F6"/>
    <w:rsid w:val="005D66F2"/>
    <w:rsid w:val="005D7A3B"/>
    <w:rsid w:val="005E0941"/>
    <w:rsid w:val="005E1301"/>
    <w:rsid w:val="005E2F54"/>
    <w:rsid w:val="005E39CA"/>
    <w:rsid w:val="005E4B03"/>
    <w:rsid w:val="005E5347"/>
    <w:rsid w:val="005E5BE6"/>
    <w:rsid w:val="005E60C9"/>
    <w:rsid w:val="005E616A"/>
    <w:rsid w:val="005E6CFC"/>
    <w:rsid w:val="005E77C6"/>
    <w:rsid w:val="005F0FCE"/>
    <w:rsid w:val="005F13DF"/>
    <w:rsid w:val="005F1749"/>
    <w:rsid w:val="005F1E05"/>
    <w:rsid w:val="005F2447"/>
    <w:rsid w:val="005F2602"/>
    <w:rsid w:val="005F3A36"/>
    <w:rsid w:val="005F4740"/>
    <w:rsid w:val="005F5284"/>
    <w:rsid w:val="005F56CA"/>
    <w:rsid w:val="005F575C"/>
    <w:rsid w:val="005F59B6"/>
    <w:rsid w:val="005F612F"/>
    <w:rsid w:val="005F6C8D"/>
    <w:rsid w:val="005F7682"/>
    <w:rsid w:val="005F77FD"/>
    <w:rsid w:val="00600041"/>
    <w:rsid w:val="00600353"/>
    <w:rsid w:val="00600C7E"/>
    <w:rsid w:val="006010BC"/>
    <w:rsid w:val="00602627"/>
    <w:rsid w:val="00602C65"/>
    <w:rsid w:val="00602FB8"/>
    <w:rsid w:val="0060361D"/>
    <w:rsid w:val="00603B27"/>
    <w:rsid w:val="00603DDD"/>
    <w:rsid w:val="00603E53"/>
    <w:rsid w:val="00604947"/>
    <w:rsid w:val="00604CDD"/>
    <w:rsid w:val="00604FC5"/>
    <w:rsid w:val="00606D24"/>
    <w:rsid w:val="00606D25"/>
    <w:rsid w:val="00607654"/>
    <w:rsid w:val="00610A26"/>
    <w:rsid w:val="00610A85"/>
    <w:rsid w:val="006115D9"/>
    <w:rsid w:val="00611B6A"/>
    <w:rsid w:val="00611EF7"/>
    <w:rsid w:val="006142E7"/>
    <w:rsid w:val="00615405"/>
    <w:rsid w:val="006157DD"/>
    <w:rsid w:val="0061631B"/>
    <w:rsid w:val="00617444"/>
    <w:rsid w:val="006201E5"/>
    <w:rsid w:val="00620BEA"/>
    <w:rsid w:val="00620CD0"/>
    <w:rsid w:val="00620DF0"/>
    <w:rsid w:val="0062298D"/>
    <w:rsid w:val="00623B33"/>
    <w:rsid w:val="00624AFD"/>
    <w:rsid w:val="00624F67"/>
    <w:rsid w:val="006250E0"/>
    <w:rsid w:val="006255C5"/>
    <w:rsid w:val="00626B69"/>
    <w:rsid w:val="00626FE2"/>
    <w:rsid w:val="00627077"/>
    <w:rsid w:val="00630178"/>
    <w:rsid w:val="00630923"/>
    <w:rsid w:val="00631141"/>
    <w:rsid w:val="00631471"/>
    <w:rsid w:val="006315B8"/>
    <w:rsid w:val="006315F1"/>
    <w:rsid w:val="00631EA3"/>
    <w:rsid w:val="00632887"/>
    <w:rsid w:val="00633948"/>
    <w:rsid w:val="00633E71"/>
    <w:rsid w:val="00634934"/>
    <w:rsid w:val="00634B83"/>
    <w:rsid w:val="00635A27"/>
    <w:rsid w:val="00636141"/>
    <w:rsid w:val="0063678D"/>
    <w:rsid w:val="006367B7"/>
    <w:rsid w:val="006369D5"/>
    <w:rsid w:val="00636D53"/>
    <w:rsid w:val="00636EB9"/>
    <w:rsid w:val="0063761C"/>
    <w:rsid w:val="006402C1"/>
    <w:rsid w:val="006415F8"/>
    <w:rsid w:val="00641993"/>
    <w:rsid w:val="0064259C"/>
    <w:rsid w:val="006438E3"/>
    <w:rsid w:val="006443A5"/>
    <w:rsid w:val="0064661F"/>
    <w:rsid w:val="00646AAB"/>
    <w:rsid w:val="006503CE"/>
    <w:rsid w:val="00651050"/>
    <w:rsid w:val="006510BE"/>
    <w:rsid w:val="0065117B"/>
    <w:rsid w:val="006528D2"/>
    <w:rsid w:val="00655E4C"/>
    <w:rsid w:val="00656890"/>
    <w:rsid w:val="00656EA7"/>
    <w:rsid w:val="006576A7"/>
    <w:rsid w:val="00657C52"/>
    <w:rsid w:val="00657EA8"/>
    <w:rsid w:val="0066064F"/>
    <w:rsid w:val="0066148A"/>
    <w:rsid w:val="00661C2C"/>
    <w:rsid w:val="00664DDF"/>
    <w:rsid w:val="00664E8B"/>
    <w:rsid w:val="00666B58"/>
    <w:rsid w:val="006678E7"/>
    <w:rsid w:val="0067006B"/>
    <w:rsid w:val="0067035F"/>
    <w:rsid w:val="006703FD"/>
    <w:rsid w:val="0067097D"/>
    <w:rsid w:val="00671738"/>
    <w:rsid w:val="00672605"/>
    <w:rsid w:val="00672684"/>
    <w:rsid w:val="00672890"/>
    <w:rsid w:val="00672A9D"/>
    <w:rsid w:val="006731E7"/>
    <w:rsid w:val="006735F8"/>
    <w:rsid w:val="006737BD"/>
    <w:rsid w:val="0067477C"/>
    <w:rsid w:val="00674E08"/>
    <w:rsid w:val="00675584"/>
    <w:rsid w:val="00680177"/>
    <w:rsid w:val="0068043B"/>
    <w:rsid w:val="00680791"/>
    <w:rsid w:val="00680DE4"/>
    <w:rsid w:val="00680F71"/>
    <w:rsid w:val="006810AA"/>
    <w:rsid w:val="00681BAA"/>
    <w:rsid w:val="00681C85"/>
    <w:rsid w:val="00681CA1"/>
    <w:rsid w:val="00682104"/>
    <w:rsid w:val="006826B1"/>
    <w:rsid w:val="00682BF1"/>
    <w:rsid w:val="00682CC8"/>
    <w:rsid w:val="006843BE"/>
    <w:rsid w:val="006849CE"/>
    <w:rsid w:val="00684CAD"/>
    <w:rsid w:val="00684CC7"/>
    <w:rsid w:val="006854C0"/>
    <w:rsid w:val="006860AC"/>
    <w:rsid w:val="0068737F"/>
    <w:rsid w:val="0069007A"/>
    <w:rsid w:val="00690428"/>
    <w:rsid w:val="0069108A"/>
    <w:rsid w:val="006930AF"/>
    <w:rsid w:val="00693A32"/>
    <w:rsid w:val="00695A1A"/>
    <w:rsid w:val="00695B3C"/>
    <w:rsid w:val="0069610A"/>
    <w:rsid w:val="0069615B"/>
    <w:rsid w:val="006966ED"/>
    <w:rsid w:val="00697676"/>
    <w:rsid w:val="00697BF0"/>
    <w:rsid w:val="006A06B5"/>
    <w:rsid w:val="006A06B6"/>
    <w:rsid w:val="006A187A"/>
    <w:rsid w:val="006A1F2F"/>
    <w:rsid w:val="006A2AA3"/>
    <w:rsid w:val="006A2BA2"/>
    <w:rsid w:val="006A375A"/>
    <w:rsid w:val="006A392C"/>
    <w:rsid w:val="006A6221"/>
    <w:rsid w:val="006A6892"/>
    <w:rsid w:val="006A68E6"/>
    <w:rsid w:val="006A7187"/>
    <w:rsid w:val="006B01B2"/>
    <w:rsid w:val="006B0323"/>
    <w:rsid w:val="006B1EF1"/>
    <w:rsid w:val="006B20F2"/>
    <w:rsid w:val="006B2DB5"/>
    <w:rsid w:val="006B3778"/>
    <w:rsid w:val="006B3972"/>
    <w:rsid w:val="006B3AD9"/>
    <w:rsid w:val="006B3E49"/>
    <w:rsid w:val="006B40CF"/>
    <w:rsid w:val="006B4626"/>
    <w:rsid w:val="006B4C2C"/>
    <w:rsid w:val="006B52D8"/>
    <w:rsid w:val="006B5593"/>
    <w:rsid w:val="006B5768"/>
    <w:rsid w:val="006B64CA"/>
    <w:rsid w:val="006B7709"/>
    <w:rsid w:val="006B7E2C"/>
    <w:rsid w:val="006C04D7"/>
    <w:rsid w:val="006C094C"/>
    <w:rsid w:val="006C1305"/>
    <w:rsid w:val="006C18B9"/>
    <w:rsid w:val="006C26D0"/>
    <w:rsid w:val="006C34E6"/>
    <w:rsid w:val="006C4B9B"/>
    <w:rsid w:val="006C5457"/>
    <w:rsid w:val="006C57BB"/>
    <w:rsid w:val="006C5FA6"/>
    <w:rsid w:val="006C6A69"/>
    <w:rsid w:val="006C734D"/>
    <w:rsid w:val="006D01C3"/>
    <w:rsid w:val="006D0F1C"/>
    <w:rsid w:val="006D1593"/>
    <w:rsid w:val="006D1F56"/>
    <w:rsid w:val="006D235C"/>
    <w:rsid w:val="006D25CB"/>
    <w:rsid w:val="006D26CA"/>
    <w:rsid w:val="006D29DA"/>
    <w:rsid w:val="006D3958"/>
    <w:rsid w:val="006D51B6"/>
    <w:rsid w:val="006D5385"/>
    <w:rsid w:val="006D617F"/>
    <w:rsid w:val="006D6475"/>
    <w:rsid w:val="006D657F"/>
    <w:rsid w:val="006D6FED"/>
    <w:rsid w:val="006D7754"/>
    <w:rsid w:val="006D7885"/>
    <w:rsid w:val="006E1351"/>
    <w:rsid w:val="006E14F7"/>
    <w:rsid w:val="006E1823"/>
    <w:rsid w:val="006E1AF3"/>
    <w:rsid w:val="006E1F74"/>
    <w:rsid w:val="006E2505"/>
    <w:rsid w:val="006E3135"/>
    <w:rsid w:val="006E32F9"/>
    <w:rsid w:val="006E3C11"/>
    <w:rsid w:val="006E3CC4"/>
    <w:rsid w:val="006E434A"/>
    <w:rsid w:val="006E441B"/>
    <w:rsid w:val="006E5201"/>
    <w:rsid w:val="006E524F"/>
    <w:rsid w:val="006E5CC2"/>
    <w:rsid w:val="006E5E20"/>
    <w:rsid w:val="006E64DA"/>
    <w:rsid w:val="006E6534"/>
    <w:rsid w:val="006E75F6"/>
    <w:rsid w:val="006F0222"/>
    <w:rsid w:val="006F0357"/>
    <w:rsid w:val="006F042C"/>
    <w:rsid w:val="006F0F61"/>
    <w:rsid w:val="006F1FEA"/>
    <w:rsid w:val="006F275A"/>
    <w:rsid w:val="006F2FD2"/>
    <w:rsid w:val="006F345D"/>
    <w:rsid w:val="006F3862"/>
    <w:rsid w:val="006F3B6B"/>
    <w:rsid w:val="006F3C7C"/>
    <w:rsid w:val="006F3E66"/>
    <w:rsid w:val="006F4B52"/>
    <w:rsid w:val="006F4CAB"/>
    <w:rsid w:val="006F594A"/>
    <w:rsid w:val="006F5980"/>
    <w:rsid w:val="006F7236"/>
    <w:rsid w:val="00700B83"/>
    <w:rsid w:val="00700FF7"/>
    <w:rsid w:val="00701642"/>
    <w:rsid w:val="00701BF2"/>
    <w:rsid w:val="00701CEA"/>
    <w:rsid w:val="00701F66"/>
    <w:rsid w:val="0070238E"/>
    <w:rsid w:val="007025DC"/>
    <w:rsid w:val="00702668"/>
    <w:rsid w:val="00702C4A"/>
    <w:rsid w:val="00703640"/>
    <w:rsid w:val="00703AEF"/>
    <w:rsid w:val="00704362"/>
    <w:rsid w:val="00704416"/>
    <w:rsid w:val="0070445C"/>
    <w:rsid w:val="00704823"/>
    <w:rsid w:val="00705D59"/>
    <w:rsid w:val="00710141"/>
    <w:rsid w:val="00710846"/>
    <w:rsid w:val="0071085D"/>
    <w:rsid w:val="007109B7"/>
    <w:rsid w:val="0071297F"/>
    <w:rsid w:val="0071386A"/>
    <w:rsid w:val="00714CD0"/>
    <w:rsid w:val="00714DD3"/>
    <w:rsid w:val="007159B5"/>
    <w:rsid w:val="00715F8B"/>
    <w:rsid w:val="00716BEB"/>
    <w:rsid w:val="00717EAF"/>
    <w:rsid w:val="00720272"/>
    <w:rsid w:val="00720E2C"/>
    <w:rsid w:val="00720F72"/>
    <w:rsid w:val="00721591"/>
    <w:rsid w:val="0072227D"/>
    <w:rsid w:val="0072385D"/>
    <w:rsid w:val="0072479E"/>
    <w:rsid w:val="007248E4"/>
    <w:rsid w:val="007256B0"/>
    <w:rsid w:val="00725B71"/>
    <w:rsid w:val="00725C04"/>
    <w:rsid w:val="00727249"/>
    <w:rsid w:val="00727651"/>
    <w:rsid w:val="00727B55"/>
    <w:rsid w:val="00730134"/>
    <w:rsid w:val="007319FE"/>
    <w:rsid w:val="00731E7C"/>
    <w:rsid w:val="007320B8"/>
    <w:rsid w:val="00732149"/>
    <w:rsid w:val="0073239A"/>
    <w:rsid w:val="00732770"/>
    <w:rsid w:val="007337B6"/>
    <w:rsid w:val="00733F14"/>
    <w:rsid w:val="00736F2D"/>
    <w:rsid w:val="00737118"/>
    <w:rsid w:val="007401FC"/>
    <w:rsid w:val="00740A1F"/>
    <w:rsid w:val="00741D37"/>
    <w:rsid w:val="0074263C"/>
    <w:rsid w:val="0074284B"/>
    <w:rsid w:val="00743347"/>
    <w:rsid w:val="00743AE3"/>
    <w:rsid w:val="00743DA4"/>
    <w:rsid w:val="00744391"/>
    <w:rsid w:val="00745C60"/>
    <w:rsid w:val="007467F2"/>
    <w:rsid w:val="00747DED"/>
    <w:rsid w:val="00750D8F"/>
    <w:rsid w:val="0075106E"/>
    <w:rsid w:val="007510E3"/>
    <w:rsid w:val="0075149E"/>
    <w:rsid w:val="00752095"/>
    <w:rsid w:val="007524AB"/>
    <w:rsid w:val="00753DAD"/>
    <w:rsid w:val="007542EA"/>
    <w:rsid w:val="00754709"/>
    <w:rsid w:val="00754C00"/>
    <w:rsid w:val="00754C99"/>
    <w:rsid w:val="00755C88"/>
    <w:rsid w:val="00756E03"/>
    <w:rsid w:val="00761642"/>
    <w:rsid w:val="00762DE6"/>
    <w:rsid w:val="00763581"/>
    <w:rsid w:val="0076400C"/>
    <w:rsid w:val="00764A3F"/>
    <w:rsid w:val="00764DBF"/>
    <w:rsid w:val="00766FF2"/>
    <w:rsid w:val="00767613"/>
    <w:rsid w:val="0077094F"/>
    <w:rsid w:val="00770A08"/>
    <w:rsid w:val="00770EA7"/>
    <w:rsid w:val="0077186E"/>
    <w:rsid w:val="00771EB0"/>
    <w:rsid w:val="007722B5"/>
    <w:rsid w:val="00773B0C"/>
    <w:rsid w:val="00773D7A"/>
    <w:rsid w:val="00773F12"/>
    <w:rsid w:val="0077575C"/>
    <w:rsid w:val="00776312"/>
    <w:rsid w:val="00777810"/>
    <w:rsid w:val="0078010C"/>
    <w:rsid w:val="00780136"/>
    <w:rsid w:val="00780D79"/>
    <w:rsid w:val="00780E95"/>
    <w:rsid w:val="0078173F"/>
    <w:rsid w:val="0078181A"/>
    <w:rsid w:val="00782667"/>
    <w:rsid w:val="00782718"/>
    <w:rsid w:val="00782DC6"/>
    <w:rsid w:val="00782FFF"/>
    <w:rsid w:val="00783E8C"/>
    <w:rsid w:val="007853C9"/>
    <w:rsid w:val="00786137"/>
    <w:rsid w:val="00786585"/>
    <w:rsid w:val="007873DE"/>
    <w:rsid w:val="00787494"/>
    <w:rsid w:val="00787741"/>
    <w:rsid w:val="00791C18"/>
    <w:rsid w:val="007921A0"/>
    <w:rsid w:val="007922B0"/>
    <w:rsid w:val="00794C76"/>
    <w:rsid w:val="00794D43"/>
    <w:rsid w:val="0079609C"/>
    <w:rsid w:val="00796702"/>
    <w:rsid w:val="00796E69"/>
    <w:rsid w:val="00796F06"/>
    <w:rsid w:val="00797CF1"/>
    <w:rsid w:val="007A0251"/>
    <w:rsid w:val="007A08D1"/>
    <w:rsid w:val="007A1627"/>
    <w:rsid w:val="007A20C3"/>
    <w:rsid w:val="007A220C"/>
    <w:rsid w:val="007A2A66"/>
    <w:rsid w:val="007A4586"/>
    <w:rsid w:val="007A4D99"/>
    <w:rsid w:val="007A5844"/>
    <w:rsid w:val="007A5A5B"/>
    <w:rsid w:val="007A6479"/>
    <w:rsid w:val="007A672E"/>
    <w:rsid w:val="007A754B"/>
    <w:rsid w:val="007A75A6"/>
    <w:rsid w:val="007A7CD4"/>
    <w:rsid w:val="007A7D2B"/>
    <w:rsid w:val="007B0A36"/>
    <w:rsid w:val="007B17BA"/>
    <w:rsid w:val="007B31BE"/>
    <w:rsid w:val="007B4748"/>
    <w:rsid w:val="007B4C6F"/>
    <w:rsid w:val="007B4CA7"/>
    <w:rsid w:val="007B5242"/>
    <w:rsid w:val="007B6126"/>
    <w:rsid w:val="007B6847"/>
    <w:rsid w:val="007B69FA"/>
    <w:rsid w:val="007B710D"/>
    <w:rsid w:val="007B73DF"/>
    <w:rsid w:val="007B75A0"/>
    <w:rsid w:val="007C0D3D"/>
    <w:rsid w:val="007C152C"/>
    <w:rsid w:val="007C1B90"/>
    <w:rsid w:val="007C216B"/>
    <w:rsid w:val="007C3459"/>
    <w:rsid w:val="007C3C70"/>
    <w:rsid w:val="007C3FAD"/>
    <w:rsid w:val="007C4156"/>
    <w:rsid w:val="007C4BC3"/>
    <w:rsid w:val="007C5627"/>
    <w:rsid w:val="007C5C8B"/>
    <w:rsid w:val="007C6550"/>
    <w:rsid w:val="007D14EE"/>
    <w:rsid w:val="007D176A"/>
    <w:rsid w:val="007D2DC7"/>
    <w:rsid w:val="007D3977"/>
    <w:rsid w:val="007D3D4D"/>
    <w:rsid w:val="007D3E44"/>
    <w:rsid w:val="007D4576"/>
    <w:rsid w:val="007D6F5D"/>
    <w:rsid w:val="007D7DDF"/>
    <w:rsid w:val="007E0C8F"/>
    <w:rsid w:val="007E0F24"/>
    <w:rsid w:val="007E10AE"/>
    <w:rsid w:val="007E185F"/>
    <w:rsid w:val="007E1E8E"/>
    <w:rsid w:val="007E2208"/>
    <w:rsid w:val="007E2498"/>
    <w:rsid w:val="007E261D"/>
    <w:rsid w:val="007E2B0B"/>
    <w:rsid w:val="007E4581"/>
    <w:rsid w:val="007E4737"/>
    <w:rsid w:val="007E5BF9"/>
    <w:rsid w:val="007E6077"/>
    <w:rsid w:val="007E6FB3"/>
    <w:rsid w:val="007E7E16"/>
    <w:rsid w:val="007F0049"/>
    <w:rsid w:val="007F0059"/>
    <w:rsid w:val="007F0417"/>
    <w:rsid w:val="007F152E"/>
    <w:rsid w:val="007F16C8"/>
    <w:rsid w:val="007F1784"/>
    <w:rsid w:val="007F192E"/>
    <w:rsid w:val="007F1D16"/>
    <w:rsid w:val="007F34F8"/>
    <w:rsid w:val="007F3AA0"/>
    <w:rsid w:val="007F42F2"/>
    <w:rsid w:val="007F5F3D"/>
    <w:rsid w:val="007F7763"/>
    <w:rsid w:val="007F79CF"/>
    <w:rsid w:val="007F7A61"/>
    <w:rsid w:val="007F7CE3"/>
    <w:rsid w:val="007F7D7D"/>
    <w:rsid w:val="008008FF"/>
    <w:rsid w:val="00801521"/>
    <w:rsid w:val="0080214A"/>
    <w:rsid w:val="00802889"/>
    <w:rsid w:val="00803AC8"/>
    <w:rsid w:val="00804068"/>
    <w:rsid w:val="0080418E"/>
    <w:rsid w:val="0080444C"/>
    <w:rsid w:val="008044D0"/>
    <w:rsid w:val="008054B4"/>
    <w:rsid w:val="00805D36"/>
    <w:rsid w:val="00805D7D"/>
    <w:rsid w:val="00805EC2"/>
    <w:rsid w:val="00806361"/>
    <w:rsid w:val="00806A0A"/>
    <w:rsid w:val="00807199"/>
    <w:rsid w:val="00807B9F"/>
    <w:rsid w:val="00810D1F"/>
    <w:rsid w:val="008137FF"/>
    <w:rsid w:val="008141F4"/>
    <w:rsid w:val="008146E5"/>
    <w:rsid w:val="00815444"/>
    <w:rsid w:val="0081639C"/>
    <w:rsid w:val="00816704"/>
    <w:rsid w:val="008174D7"/>
    <w:rsid w:val="00817CEE"/>
    <w:rsid w:val="0082282C"/>
    <w:rsid w:val="00822EFF"/>
    <w:rsid w:val="008230B5"/>
    <w:rsid w:val="00824185"/>
    <w:rsid w:val="008260F0"/>
    <w:rsid w:val="00830225"/>
    <w:rsid w:val="00831FC6"/>
    <w:rsid w:val="008321C3"/>
    <w:rsid w:val="00832398"/>
    <w:rsid w:val="00833239"/>
    <w:rsid w:val="008332BC"/>
    <w:rsid w:val="00833475"/>
    <w:rsid w:val="00833F5F"/>
    <w:rsid w:val="008350A8"/>
    <w:rsid w:val="008352A9"/>
    <w:rsid w:val="00836608"/>
    <w:rsid w:val="00836AF1"/>
    <w:rsid w:val="0083745B"/>
    <w:rsid w:val="008403D1"/>
    <w:rsid w:val="008414DD"/>
    <w:rsid w:val="00842A0F"/>
    <w:rsid w:val="00842BCC"/>
    <w:rsid w:val="008434C3"/>
    <w:rsid w:val="00843859"/>
    <w:rsid w:val="00844074"/>
    <w:rsid w:val="008443FF"/>
    <w:rsid w:val="00845D4D"/>
    <w:rsid w:val="008461CD"/>
    <w:rsid w:val="0084624B"/>
    <w:rsid w:val="00846AA7"/>
    <w:rsid w:val="00846D88"/>
    <w:rsid w:val="00847341"/>
    <w:rsid w:val="00850270"/>
    <w:rsid w:val="0085074F"/>
    <w:rsid w:val="0085219C"/>
    <w:rsid w:val="0085260B"/>
    <w:rsid w:val="00852696"/>
    <w:rsid w:val="008532CB"/>
    <w:rsid w:val="00853C3D"/>
    <w:rsid w:val="0085433B"/>
    <w:rsid w:val="00854379"/>
    <w:rsid w:val="0085519C"/>
    <w:rsid w:val="0085545B"/>
    <w:rsid w:val="008603B5"/>
    <w:rsid w:val="00860BA4"/>
    <w:rsid w:val="008618AF"/>
    <w:rsid w:val="008622A9"/>
    <w:rsid w:val="008629BA"/>
    <w:rsid w:val="00862E53"/>
    <w:rsid w:val="00863B49"/>
    <w:rsid w:val="00863D67"/>
    <w:rsid w:val="00864333"/>
    <w:rsid w:val="008646E3"/>
    <w:rsid w:val="008648D8"/>
    <w:rsid w:val="00865602"/>
    <w:rsid w:val="00865EB5"/>
    <w:rsid w:val="00866170"/>
    <w:rsid w:val="00866823"/>
    <w:rsid w:val="00866F12"/>
    <w:rsid w:val="0086700E"/>
    <w:rsid w:val="008671B7"/>
    <w:rsid w:val="008676A3"/>
    <w:rsid w:val="0087194C"/>
    <w:rsid w:val="008724CB"/>
    <w:rsid w:val="008738DF"/>
    <w:rsid w:val="008743C9"/>
    <w:rsid w:val="008744CE"/>
    <w:rsid w:val="00874764"/>
    <w:rsid w:val="00874FDC"/>
    <w:rsid w:val="0087504A"/>
    <w:rsid w:val="00875707"/>
    <w:rsid w:val="008779B0"/>
    <w:rsid w:val="00877DA4"/>
    <w:rsid w:val="0088066B"/>
    <w:rsid w:val="008825A1"/>
    <w:rsid w:val="00884281"/>
    <w:rsid w:val="008848BB"/>
    <w:rsid w:val="008853D0"/>
    <w:rsid w:val="0088557B"/>
    <w:rsid w:val="00885F02"/>
    <w:rsid w:val="00886312"/>
    <w:rsid w:val="008867DD"/>
    <w:rsid w:val="00886DEF"/>
    <w:rsid w:val="008876B7"/>
    <w:rsid w:val="008879E2"/>
    <w:rsid w:val="00887EE1"/>
    <w:rsid w:val="00892140"/>
    <w:rsid w:val="00892226"/>
    <w:rsid w:val="00892894"/>
    <w:rsid w:val="00893AEA"/>
    <w:rsid w:val="00894B2F"/>
    <w:rsid w:val="00895597"/>
    <w:rsid w:val="00895B5E"/>
    <w:rsid w:val="00897072"/>
    <w:rsid w:val="00897A48"/>
    <w:rsid w:val="008A0023"/>
    <w:rsid w:val="008A1F1A"/>
    <w:rsid w:val="008A20FE"/>
    <w:rsid w:val="008A237B"/>
    <w:rsid w:val="008A36DB"/>
    <w:rsid w:val="008A3843"/>
    <w:rsid w:val="008A3AA1"/>
    <w:rsid w:val="008A3EDA"/>
    <w:rsid w:val="008A4A14"/>
    <w:rsid w:val="008A529A"/>
    <w:rsid w:val="008A53BF"/>
    <w:rsid w:val="008A5CBE"/>
    <w:rsid w:val="008A6972"/>
    <w:rsid w:val="008A6BDD"/>
    <w:rsid w:val="008B2DD0"/>
    <w:rsid w:val="008B3174"/>
    <w:rsid w:val="008B3B7E"/>
    <w:rsid w:val="008B479E"/>
    <w:rsid w:val="008B4DA6"/>
    <w:rsid w:val="008B5345"/>
    <w:rsid w:val="008B538B"/>
    <w:rsid w:val="008B5E96"/>
    <w:rsid w:val="008B7210"/>
    <w:rsid w:val="008C0A52"/>
    <w:rsid w:val="008C27AB"/>
    <w:rsid w:val="008C2A1D"/>
    <w:rsid w:val="008C3608"/>
    <w:rsid w:val="008C3880"/>
    <w:rsid w:val="008C3CE8"/>
    <w:rsid w:val="008C5264"/>
    <w:rsid w:val="008C6045"/>
    <w:rsid w:val="008C6888"/>
    <w:rsid w:val="008C79D6"/>
    <w:rsid w:val="008D00D1"/>
    <w:rsid w:val="008D1222"/>
    <w:rsid w:val="008D212D"/>
    <w:rsid w:val="008D2C94"/>
    <w:rsid w:val="008D40AC"/>
    <w:rsid w:val="008D421D"/>
    <w:rsid w:val="008D43C1"/>
    <w:rsid w:val="008D46C7"/>
    <w:rsid w:val="008D4FF2"/>
    <w:rsid w:val="008D52D7"/>
    <w:rsid w:val="008D59B6"/>
    <w:rsid w:val="008D5AD5"/>
    <w:rsid w:val="008D7F21"/>
    <w:rsid w:val="008E3265"/>
    <w:rsid w:val="008E454A"/>
    <w:rsid w:val="008E4BE1"/>
    <w:rsid w:val="008E5AF5"/>
    <w:rsid w:val="008E7195"/>
    <w:rsid w:val="008E7269"/>
    <w:rsid w:val="008E735E"/>
    <w:rsid w:val="008E759E"/>
    <w:rsid w:val="008F190F"/>
    <w:rsid w:val="008F3867"/>
    <w:rsid w:val="008F41F8"/>
    <w:rsid w:val="008F4354"/>
    <w:rsid w:val="008F4EB8"/>
    <w:rsid w:val="008F557C"/>
    <w:rsid w:val="008F67D9"/>
    <w:rsid w:val="008F6BDF"/>
    <w:rsid w:val="0090193B"/>
    <w:rsid w:val="00902F6B"/>
    <w:rsid w:val="0090319F"/>
    <w:rsid w:val="00904299"/>
    <w:rsid w:val="0090537E"/>
    <w:rsid w:val="00905801"/>
    <w:rsid w:val="00906BF0"/>
    <w:rsid w:val="00906EDC"/>
    <w:rsid w:val="00906F5E"/>
    <w:rsid w:val="00910C63"/>
    <w:rsid w:val="009118AA"/>
    <w:rsid w:val="00912264"/>
    <w:rsid w:val="009132AE"/>
    <w:rsid w:val="00913918"/>
    <w:rsid w:val="00913AD3"/>
    <w:rsid w:val="0091413F"/>
    <w:rsid w:val="00914CB6"/>
    <w:rsid w:val="00915161"/>
    <w:rsid w:val="00915F1A"/>
    <w:rsid w:val="00916ACC"/>
    <w:rsid w:val="00920326"/>
    <w:rsid w:val="00920AE4"/>
    <w:rsid w:val="00920E0A"/>
    <w:rsid w:val="00923035"/>
    <w:rsid w:val="009238DC"/>
    <w:rsid w:val="009242F2"/>
    <w:rsid w:val="009249BC"/>
    <w:rsid w:val="00926F39"/>
    <w:rsid w:val="009277F0"/>
    <w:rsid w:val="00927AC4"/>
    <w:rsid w:val="009305D4"/>
    <w:rsid w:val="009306F8"/>
    <w:rsid w:val="0093172F"/>
    <w:rsid w:val="0093207A"/>
    <w:rsid w:val="00932591"/>
    <w:rsid w:val="00932D14"/>
    <w:rsid w:val="00933162"/>
    <w:rsid w:val="00934A30"/>
    <w:rsid w:val="00934D1B"/>
    <w:rsid w:val="009350C9"/>
    <w:rsid w:val="0093530C"/>
    <w:rsid w:val="009368D1"/>
    <w:rsid w:val="00936D45"/>
    <w:rsid w:val="00937A89"/>
    <w:rsid w:val="0094009E"/>
    <w:rsid w:val="009401F8"/>
    <w:rsid w:val="00940CD4"/>
    <w:rsid w:val="0094118A"/>
    <w:rsid w:val="009421D3"/>
    <w:rsid w:val="009427BB"/>
    <w:rsid w:val="0094281F"/>
    <w:rsid w:val="00942EAB"/>
    <w:rsid w:val="00943960"/>
    <w:rsid w:val="00943FF8"/>
    <w:rsid w:val="00944EE3"/>
    <w:rsid w:val="009452E8"/>
    <w:rsid w:val="00945FB9"/>
    <w:rsid w:val="00946557"/>
    <w:rsid w:val="00947415"/>
    <w:rsid w:val="0094790D"/>
    <w:rsid w:val="00947B94"/>
    <w:rsid w:val="00947E5E"/>
    <w:rsid w:val="00951535"/>
    <w:rsid w:val="009515D1"/>
    <w:rsid w:val="009523D3"/>
    <w:rsid w:val="00953136"/>
    <w:rsid w:val="0095380A"/>
    <w:rsid w:val="00953E43"/>
    <w:rsid w:val="009545D2"/>
    <w:rsid w:val="00955468"/>
    <w:rsid w:val="009562C8"/>
    <w:rsid w:val="009573A9"/>
    <w:rsid w:val="009578C7"/>
    <w:rsid w:val="00960336"/>
    <w:rsid w:val="00960440"/>
    <w:rsid w:val="009615AC"/>
    <w:rsid w:val="00961692"/>
    <w:rsid w:val="00961CC6"/>
    <w:rsid w:val="00961EEB"/>
    <w:rsid w:val="00962E68"/>
    <w:rsid w:val="00962FA0"/>
    <w:rsid w:val="0096399E"/>
    <w:rsid w:val="009648C5"/>
    <w:rsid w:val="00964E0D"/>
    <w:rsid w:val="00964FA9"/>
    <w:rsid w:val="00965F0D"/>
    <w:rsid w:val="00966836"/>
    <w:rsid w:val="009669C2"/>
    <w:rsid w:val="00970994"/>
    <w:rsid w:val="009717B2"/>
    <w:rsid w:val="00972148"/>
    <w:rsid w:val="00972D38"/>
    <w:rsid w:val="00972F0F"/>
    <w:rsid w:val="00973BED"/>
    <w:rsid w:val="009746F4"/>
    <w:rsid w:val="00974E7C"/>
    <w:rsid w:val="009752CC"/>
    <w:rsid w:val="00975B22"/>
    <w:rsid w:val="0097613C"/>
    <w:rsid w:val="009773C9"/>
    <w:rsid w:val="00977D86"/>
    <w:rsid w:val="00980B09"/>
    <w:rsid w:val="00981C2E"/>
    <w:rsid w:val="009832BC"/>
    <w:rsid w:val="00984268"/>
    <w:rsid w:val="00984345"/>
    <w:rsid w:val="00984D65"/>
    <w:rsid w:val="00985A02"/>
    <w:rsid w:val="00986041"/>
    <w:rsid w:val="00986D43"/>
    <w:rsid w:val="00987021"/>
    <w:rsid w:val="009879CA"/>
    <w:rsid w:val="00987D44"/>
    <w:rsid w:val="009907AF"/>
    <w:rsid w:val="009924A0"/>
    <w:rsid w:val="009925AA"/>
    <w:rsid w:val="00992949"/>
    <w:rsid w:val="00992AEB"/>
    <w:rsid w:val="00994776"/>
    <w:rsid w:val="009948D2"/>
    <w:rsid w:val="00994CDC"/>
    <w:rsid w:val="00995131"/>
    <w:rsid w:val="009953A5"/>
    <w:rsid w:val="009956F2"/>
    <w:rsid w:val="0099614E"/>
    <w:rsid w:val="009965F9"/>
    <w:rsid w:val="009967CC"/>
    <w:rsid w:val="00996DB7"/>
    <w:rsid w:val="0099714F"/>
    <w:rsid w:val="009975EA"/>
    <w:rsid w:val="009A007F"/>
    <w:rsid w:val="009A00F5"/>
    <w:rsid w:val="009A04A8"/>
    <w:rsid w:val="009A0F26"/>
    <w:rsid w:val="009A1BF6"/>
    <w:rsid w:val="009A202F"/>
    <w:rsid w:val="009A2878"/>
    <w:rsid w:val="009A3612"/>
    <w:rsid w:val="009A37A8"/>
    <w:rsid w:val="009A45E9"/>
    <w:rsid w:val="009A499A"/>
    <w:rsid w:val="009A4E54"/>
    <w:rsid w:val="009A515C"/>
    <w:rsid w:val="009A5FC4"/>
    <w:rsid w:val="009A6070"/>
    <w:rsid w:val="009A66C8"/>
    <w:rsid w:val="009A6BF7"/>
    <w:rsid w:val="009A7156"/>
    <w:rsid w:val="009A79D5"/>
    <w:rsid w:val="009B2C60"/>
    <w:rsid w:val="009B2F2F"/>
    <w:rsid w:val="009B3109"/>
    <w:rsid w:val="009B4F29"/>
    <w:rsid w:val="009B54A3"/>
    <w:rsid w:val="009B5D47"/>
    <w:rsid w:val="009B5FD3"/>
    <w:rsid w:val="009B6604"/>
    <w:rsid w:val="009B7271"/>
    <w:rsid w:val="009B7337"/>
    <w:rsid w:val="009B7644"/>
    <w:rsid w:val="009B7CD9"/>
    <w:rsid w:val="009C00C8"/>
    <w:rsid w:val="009C1AAE"/>
    <w:rsid w:val="009C2D9C"/>
    <w:rsid w:val="009C348B"/>
    <w:rsid w:val="009C36E8"/>
    <w:rsid w:val="009C5335"/>
    <w:rsid w:val="009C573C"/>
    <w:rsid w:val="009C5C9D"/>
    <w:rsid w:val="009C5D5D"/>
    <w:rsid w:val="009D06CA"/>
    <w:rsid w:val="009D1394"/>
    <w:rsid w:val="009D2C19"/>
    <w:rsid w:val="009D310B"/>
    <w:rsid w:val="009D393E"/>
    <w:rsid w:val="009D4536"/>
    <w:rsid w:val="009D5BBF"/>
    <w:rsid w:val="009D6752"/>
    <w:rsid w:val="009D6A12"/>
    <w:rsid w:val="009D7B27"/>
    <w:rsid w:val="009D7B52"/>
    <w:rsid w:val="009E08C0"/>
    <w:rsid w:val="009E0D4F"/>
    <w:rsid w:val="009E1482"/>
    <w:rsid w:val="009E1495"/>
    <w:rsid w:val="009E214C"/>
    <w:rsid w:val="009E25D6"/>
    <w:rsid w:val="009E29D5"/>
    <w:rsid w:val="009E3D54"/>
    <w:rsid w:val="009E55F5"/>
    <w:rsid w:val="009E5B8E"/>
    <w:rsid w:val="009E62E8"/>
    <w:rsid w:val="009F064A"/>
    <w:rsid w:val="009F06AC"/>
    <w:rsid w:val="009F0B6B"/>
    <w:rsid w:val="009F0BC0"/>
    <w:rsid w:val="009F0E2F"/>
    <w:rsid w:val="009F0EDD"/>
    <w:rsid w:val="009F18B0"/>
    <w:rsid w:val="009F20D3"/>
    <w:rsid w:val="009F2ED0"/>
    <w:rsid w:val="009F406C"/>
    <w:rsid w:val="009F469B"/>
    <w:rsid w:val="009F4B0B"/>
    <w:rsid w:val="009F5B2E"/>
    <w:rsid w:val="009F6926"/>
    <w:rsid w:val="009F7354"/>
    <w:rsid w:val="009F7DF6"/>
    <w:rsid w:val="00A006DC"/>
    <w:rsid w:val="00A0110F"/>
    <w:rsid w:val="00A0136A"/>
    <w:rsid w:val="00A0164C"/>
    <w:rsid w:val="00A02253"/>
    <w:rsid w:val="00A02448"/>
    <w:rsid w:val="00A0279A"/>
    <w:rsid w:val="00A02B3C"/>
    <w:rsid w:val="00A02C62"/>
    <w:rsid w:val="00A039C8"/>
    <w:rsid w:val="00A06CA0"/>
    <w:rsid w:val="00A078CA"/>
    <w:rsid w:val="00A12403"/>
    <w:rsid w:val="00A12500"/>
    <w:rsid w:val="00A12CE7"/>
    <w:rsid w:val="00A133AB"/>
    <w:rsid w:val="00A135D7"/>
    <w:rsid w:val="00A14BF1"/>
    <w:rsid w:val="00A15017"/>
    <w:rsid w:val="00A1594E"/>
    <w:rsid w:val="00A15952"/>
    <w:rsid w:val="00A15E8B"/>
    <w:rsid w:val="00A16C44"/>
    <w:rsid w:val="00A1733B"/>
    <w:rsid w:val="00A17F92"/>
    <w:rsid w:val="00A2026C"/>
    <w:rsid w:val="00A20B3E"/>
    <w:rsid w:val="00A216F8"/>
    <w:rsid w:val="00A217DD"/>
    <w:rsid w:val="00A2376B"/>
    <w:rsid w:val="00A23815"/>
    <w:rsid w:val="00A24A16"/>
    <w:rsid w:val="00A24BED"/>
    <w:rsid w:val="00A25A04"/>
    <w:rsid w:val="00A26DBF"/>
    <w:rsid w:val="00A2735B"/>
    <w:rsid w:val="00A276B0"/>
    <w:rsid w:val="00A30AEA"/>
    <w:rsid w:val="00A3127C"/>
    <w:rsid w:val="00A31B8D"/>
    <w:rsid w:val="00A32A23"/>
    <w:rsid w:val="00A34B14"/>
    <w:rsid w:val="00A34F18"/>
    <w:rsid w:val="00A3548B"/>
    <w:rsid w:val="00A354D4"/>
    <w:rsid w:val="00A3698B"/>
    <w:rsid w:val="00A37F95"/>
    <w:rsid w:val="00A40439"/>
    <w:rsid w:val="00A41197"/>
    <w:rsid w:val="00A4150F"/>
    <w:rsid w:val="00A427D9"/>
    <w:rsid w:val="00A447F5"/>
    <w:rsid w:val="00A44998"/>
    <w:rsid w:val="00A44EF0"/>
    <w:rsid w:val="00A45891"/>
    <w:rsid w:val="00A46628"/>
    <w:rsid w:val="00A46755"/>
    <w:rsid w:val="00A46AE7"/>
    <w:rsid w:val="00A46B1A"/>
    <w:rsid w:val="00A46D36"/>
    <w:rsid w:val="00A47E7C"/>
    <w:rsid w:val="00A503E8"/>
    <w:rsid w:val="00A50475"/>
    <w:rsid w:val="00A508EB"/>
    <w:rsid w:val="00A50ECC"/>
    <w:rsid w:val="00A516F5"/>
    <w:rsid w:val="00A526D4"/>
    <w:rsid w:val="00A5274C"/>
    <w:rsid w:val="00A529A4"/>
    <w:rsid w:val="00A52C7F"/>
    <w:rsid w:val="00A52ED8"/>
    <w:rsid w:val="00A536F9"/>
    <w:rsid w:val="00A54465"/>
    <w:rsid w:val="00A54667"/>
    <w:rsid w:val="00A549A3"/>
    <w:rsid w:val="00A54F00"/>
    <w:rsid w:val="00A56A2C"/>
    <w:rsid w:val="00A56DC2"/>
    <w:rsid w:val="00A572B7"/>
    <w:rsid w:val="00A57678"/>
    <w:rsid w:val="00A57DAE"/>
    <w:rsid w:val="00A633FD"/>
    <w:rsid w:val="00A63737"/>
    <w:rsid w:val="00A63BBF"/>
    <w:rsid w:val="00A63C15"/>
    <w:rsid w:val="00A63E61"/>
    <w:rsid w:val="00A64DBC"/>
    <w:rsid w:val="00A6596C"/>
    <w:rsid w:val="00A65D70"/>
    <w:rsid w:val="00A6646D"/>
    <w:rsid w:val="00A66F80"/>
    <w:rsid w:val="00A67574"/>
    <w:rsid w:val="00A67A94"/>
    <w:rsid w:val="00A70F3B"/>
    <w:rsid w:val="00A72A51"/>
    <w:rsid w:val="00A74D01"/>
    <w:rsid w:val="00A74D41"/>
    <w:rsid w:val="00A75BA0"/>
    <w:rsid w:val="00A761C1"/>
    <w:rsid w:val="00A76401"/>
    <w:rsid w:val="00A76589"/>
    <w:rsid w:val="00A76A69"/>
    <w:rsid w:val="00A76F4D"/>
    <w:rsid w:val="00A77333"/>
    <w:rsid w:val="00A77C9D"/>
    <w:rsid w:val="00A80335"/>
    <w:rsid w:val="00A80F39"/>
    <w:rsid w:val="00A81BBC"/>
    <w:rsid w:val="00A81F0C"/>
    <w:rsid w:val="00A8229E"/>
    <w:rsid w:val="00A82A89"/>
    <w:rsid w:val="00A83C3C"/>
    <w:rsid w:val="00A84443"/>
    <w:rsid w:val="00A84C2E"/>
    <w:rsid w:val="00A84DBF"/>
    <w:rsid w:val="00A866E6"/>
    <w:rsid w:val="00A87EED"/>
    <w:rsid w:val="00A90237"/>
    <w:rsid w:val="00A91058"/>
    <w:rsid w:val="00A9171D"/>
    <w:rsid w:val="00A92233"/>
    <w:rsid w:val="00A9226A"/>
    <w:rsid w:val="00A932C1"/>
    <w:rsid w:val="00A93815"/>
    <w:rsid w:val="00A9414A"/>
    <w:rsid w:val="00A977A4"/>
    <w:rsid w:val="00A97DEC"/>
    <w:rsid w:val="00A97E61"/>
    <w:rsid w:val="00AA0E17"/>
    <w:rsid w:val="00AA13FE"/>
    <w:rsid w:val="00AA184A"/>
    <w:rsid w:val="00AA1D9B"/>
    <w:rsid w:val="00AA343B"/>
    <w:rsid w:val="00AA4027"/>
    <w:rsid w:val="00AA44D0"/>
    <w:rsid w:val="00AA5A4B"/>
    <w:rsid w:val="00AA724E"/>
    <w:rsid w:val="00AA7BAD"/>
    <w:rsid w:val="00AA7FC4"/>
    <w:rsid w:val="00AB0E1C"/>
    <w:rsid w:val="00AB10CB"/>
    <w:rsid w:val="00AB2556"/>
    <w:rsid w:val="00AB2719"/>
    <w:rsid w:val="00AB3028"/>
    <w:rsid w:val="00AB30AF"/>
    <w:rsid w:val="00AB5082"/>
    <w:rsid w:val="00AB53AB"/>
    <w:rsid w:val="00AB7928"/>
    <w:rsid w:val="00AC075F"/>
    <w:rsid w:val="00AC1259"/>
    <w:rsid w:val="00AC1915"/>
    <w:rsid w:val="00AC21A7"/>
    <w:rsid w:val="00AC2DA2"/>
    <w:rsid w:val="00AC4433"/>
    <w:rsid w:val="00AC47E8"/>
    <w:rsid w:val="00AC4A26"/>
    <w:rsid w:val="00AC4C3C"/>
    <w:rsid w:val="00AC5242"/>
    <w:rsid w:val="00AC5431"/>
    <w:rsid w:val="00AC66C3"/>
    <w:rsid w:val="00AC6BD8"/>
    <w:rsid w:val="00AC6EC4"/>
    <w:rsid w:val="00AC7CEC"/>
    <w:rsid w:val="00AD0006"/>
    <w:rsid w:val="00AD0A62"/>
    <w:rsid w:val="00AD1CBB"/>
    <w:rsid w:val="00AD1FA7"/>
    <w:rsid w:val="00AD24B9"/>
    <w:rsid w:val="00AD29E1"/>
    <w:rsid w:val="00AD2FE8"/>
    <w:rsid w:val="00AD3EB9"/>
    <w:rsid w:val="00AD41FD"/>
    <w:rsid w:val="00AD4BB0"/>
    <w:rsid w:val="00AD5614"/>
    <w:rsid w:val="00AD58CF"/>
    <w:rsid w:val="00AD5C4F"/>
    <w:rsid w:val="00AD6031"/>
    <w:rsid w:val="00AD60D4"/>
    <w:rsid w:val="00AD7945"/>
    <w:rsid w:val="00AE0AF8"/>
    <w:rsid w:val="00AE1EF9"/>
    <w:rsid w:val="00AE2AA9"/>
    <w:rsid w:val="00AE34EC"/>
    <w:rsid w:val="00AE351D"/>
    <w:rsid w:val="00AE415E"/>
    <w:rsid w:val="00AE46BB"/>
    <w:rsid w:val="00AE511F"/>
    <w:rsid w:val="00AE53D1"/>
    <w:rsid w:val="00AE587C"/>
    <w:rsid w:val="00AE6449"/>
    <w:rsid w:val="00AE6579"/>
    <w:rsid w:val="00AE70FB"/>
    <w:rsid w:val="00AF00FC"/>
    <w:rsid w:val="00AF0361"/>
    <w:rsid w:val="00AF0AEE"/>
    <w:rsid w:val="00AF11C4"/>
    <w:rsid w:val="00AF2140"/>
    <w:rsid w:val="00AF2256"/>
    <w:rsid w:val="00AF2CA0"/>
    <w:rsid w:val="00AF4420"/>
    <w:rsid w:val="00AF5BE6"/>
    <w:rsid w:val="00AF5D70"/>
    <w:rsid w:val="00AF60DD"/>
    <w:rsid w:val="00AF667C"/>
    <w:rsid w:val="00AF7740"/>
    <w:rsid w:val="00B00730"/>
    <w:rsid w:val="00B01736"/>
    <w:rsid w:val="00B01A7C"/>
    <w:rsid w:val="00B0219A"/>
    <w:rsid w:val="00B0303A"/>
    <w:rsid w:val="00B03A59"/>
    <w:rsid w:val="00B03AF9"/>
    <w:rsid w:val="00B0401B"/>
    <w:rsid w:val="00B04A10"/>
    <w:rsid w:val="00B0518D"/>
    <w:rsid w:val="00B05692"/>
    <w:rsid w:val="00B05B71"/>
    <w:rsid w:val="00B06C1A"/>
    <w:rsid w:val="00B07538"/>
    <w:rsid w:val="00B0766B"/>
    <w:rsid w:val="00B104D0"/>
    <w:rsid w:val="00B1059E"/>
    <w:rsid w:val="00B11745"/>
    <w:rsid w:val="00B118C1"/>
    <w:rsid w:val="00B11B28"/>
    <w:rsid w:val="00B15898"/>
    <w:rsid w:val="00B15D7E"/>
    <w:rsid w:val="00B16EC8"/>
    <w:rsid w:val="00B2098C"/>
    <w:rsid w:val="00B20B8A"/>
    <w:rsid w:val="00B210AB"/>
    <w:rsid w:val="00B21614"/>
    <w:rsid w:val="00B22599"/>
    <w:rsid w:val="00B23734"/>
    <w:rsid w:val="00B24857"/>
    <w:rsid w:val="00B249A1"/>
    <w:rsid w:val="00B25B5D"/>
    <w:rsid w:val="00B25E4A"/>
    <w:rsid w:val="00B262A7"/>
    <w:rsid w:val="00B2766B"/>
    <w:rsid w:val="00B27716"/>
    <w:rsid w:val="00B2794F"/>
    <w:rsid w:val="00B30211"/>
    <w:rsid w:val="00B30DD5"/>
    <w:rsid w:val="00B3347B"/>
    <w:rsid w:val="00B33C2A"/>
    <w:rsid w:val="00B34223"/>
    <w:rsid w:val="00B35887"/>
    <w:rsid w:val="00B35897"/>
    <w:rsid w:val="00B3590F"/>
    <w:rsid w:val="00B35A91"/>
    <w:rsid w:val="00B35F2D"/>
    <w:rsid w:val="00B36A08"/>
    <w:rsid w:val="00B36B42"/>
    <w:rsid w:val="00B411C7"/>
    <w:rsid w:val="00B4187A"/>
    <w:rsid w:val="00B41A00"/>
    <w:rsid w:val="00B41A44"/>
    <w:rsid w:val="00B429A2"/>
    <w:rsid w:val="00B42B7B"/>
    <w:rsid w:val="00B42C80"/>
    <w:rsid w:val="00B43504"/>
    <w:rsid w:val="00B435BB"/>
    <w:rsid w:val="00B437E3"/>
    <w:rsid w:val="00B4396D"/>
    <w:rsid w:val="00B4405D"/>
    <w:rsid w:val="00B44130"/>
    <w:rsid w:val="00B443A8"/>
    <w:rsid w:val="00B44B3A"/>
    <w:rsid w:val="00B45B11"/>
    <w:rsid w:val="00B477BA"/>
    <w:rsid w:val="00B477F7"/>
    <w:rsid w:val="00B50677"/>
    <w:rsid w:val="00B51346"/>
    <w:rsid w:val="00B5182D"/>
    <w:rsid w:val="00B51941"/>
    <w:rsid w:val="00B51B16"/>
    <w:rsid w:val="00B52A90"/>
    <w:rsid w:val="00B52B1F"/>
    <w:rsid w:val="00B530F1"/>
    <w:rsid w:val="00B535F8"/>
    <w:rsid w:val="00B538A2"/>
    <w:rsid w:val="00B544F9"/>
    <w:rsid w:val="00B54C6C"/>
    <w:rsid w:val="00B54EA9"/>
    <w:rsid w:val="00B55D03"/>
    <w:rsid w:val="00B55D44"/>
    <w:rsid w:val="00B56E0F"/>
    <w:rsid w:val="00B570AA"/>
    <w:rsid w:val="00B57341"/>
    <w:rsid w:val="00B5780F"/>
    <w:rsid w:val="00B5794E"/>
    <w:rsid w:val="00B57AA6"/>
    <w:rsid w:val="00B60111"/>
    <w:rsid w:val="00B60186"/>
    <w:rsid w:val="00B60443"/>
    <w:rsid w:val="00B614A5"/>
    <w:rsid w:val="00B6168D"/>
    <w:rsid w:val="00B6171A"/>
    <w:rsid w:val="00B619F0"/>
    <w:rsid w:val="00B61BA8"/>
    <w:rsid w:val="00B6237F"/>
    <w:rsid w:val="00B63B1E"/>
    <w:rsid w:val="00B63CAD"/>
    <w:rsid w:val="00B65FC7"/>
    <w:rsid w:val="00B66B07"/>
    <w:rsid w:val="00B67779"/>
    <w:rsid w:val="00B678BF"/>
    <w:rsid w:val="00B67A9A"/>
    <w:rsid w:val="00B67B23"/>
    <w:rsid w:val="00B70082"/>
    <w:rsid w:val="00B717BF"/>
    <w:rsid w:val="00B719C1"/>
    <w:rsid w:val="00B71BD1"/>
    <w:rsid w:val="00B7204A"/>
    <w:rsid w:val="00B72169"/>
    <w:rsid w:val="00B72975"/>
    <w:rsid w:val="00B73C7A"/>
    <w:rsid w:val="00B744A4"/>
    <w:rsid w:val="00B74EC0"/>
    <w:rsid w:val="00B76B63"/>
    <w:rsid w:val="00B77B37"/>
    <w:rsid w:val="00B80639"/>
    <w:rsid w:val="00B80FCF"/>
    <w:rsid w:val="00B81C6B"/>
    <w:rsid w:val="00B82FAB"/>
    <w:rsid w:val="00B84552"/>
    <w:rsid w:val="00B84899"/>
    <w:rsid w:val="00B850F5"/>
    <w:rsid w:val="00B853F5"/>
    <w:rsid w:val="00B85B62"/>
    <w:rsid w:val="00B87733"/>
    <w:rsid w:val="00B87C5F"/>
    <w:rsid w:val="00B90145"/>
    <w:rsid w:val="00B90603"/>
    <w:rsid w:val="00B91559"/>
    <w:rsid w:val="00B91FD3"/>
    <w:rsid w:val="00B926C4"/>
    <w:rsid w:val="00B92C25"/>
    <w:rsid w:val="00B952BE"/>
    <w:rsid w:val="00B958A5"/>
    <w:rsid w:val="00B96161"/>
    <w:rsid w:val="00B9716F"/>
    <w:rsid w:val="00B97982"/>
    <w:rsid w:val="00BA0DAC"/>
    <w:rsid w:val="00BA1196"/>
    <w:rsid w:val="00BA1716"/>
    <w:rsid w:val="00BA1DB0"/>
    <w:rsid w:val="00BA249C"/>
    <w:rsid w:val="00BA2597"/>
    <w:rsid w:val="00BA33F5"/>
    <w:rsid w:val="00BA351B"/>
    <w:rsid w:val="00BA381C"/>
    <w:rsid w:val="00BA4679"/>
    <w:rsid w:val="00BA4AB8"/>
    <w:rsid w:val="00BA4E28"/>
    <w:rsid w:val="00BA5005"/>
    <w:rsid w:val="00BA59A8"/>
    <w:rsid w:val="00BA66B3"/>
    <w:rsid w:val="00BA67DA"/>
    <w:rsid w:val="00BA68EA"/>
    <w:rsid w:val="00BA6AA6"/>
    <w:rsid w:val="00BA6CF4"/>
    <w:rsid w:val="00BA6D49"/>
    <w:rsid w:val="00BA7992"/>
    <w:rsid w:val="00BA7AEC"/>
    <w:rsid w:val="00BB19C4"/>
    <w:rsid w:val="00BB1F3D"/>
    <w:rsid w:val="00BB28B4"/>
    <w:rsid w:val="00BB2A3E"/>
    <w:rsid w:val="00BB2E80"/>
    <w:rsid w:val="00BB387F"/>
    <w:rsid w:val="00BB483A"/>
    <w:rsid w:val="00BB4DF4"/>
    <w:rsid w:val="00BB5ECF"/>
    <w:rsid w:val="00BB693C"/>
    <w:rsid w:val="00BB721A"/>
    <w:rsid w:val="00BB74EA"/>
    <w:rsid w:val="00BB7500"/>
    <w:rsid w:val="00BC1705"/>
    <w:rsid w:val="00BC18A9"/>
    <w:rsid w:val="00BC2012"/>
    <w:rsid w:val="00BC220B"/>
    <w:rsid w:val="00BC2875"/>
    <w:rsid w:val="00BC2BB6"/>
    <w:rsid w:val="00BC2BBE"/>
    <w:rsid w:val="00BC3392"/>
    <w:rsid w:val="00BC3D9C"/>
    <w:rsid w:val="00BC3F79"/>
    <w:rsid w:val="00BC45D2"/>
    <w:rsid w:val="00BC4ED1"/>
    <w:rsid w:val="00BC5A6D"/>
    <w:rsid w:val="00BC5CBE"/>
    <w:rsid w:val="00BC6557"/>
    <w:rsid w:val="00BD13E2"/>
    <w:rsid w:val="00BD1AA8"/>
    <w:rsid w:val="00BD201D"/>
    <w:rsid w:val="00BD21BA"/>
    <w:rsid w:val="00BD233D"/>
    <w:rsid w:val="00BD3214"/>
    <w:rsid w:val="00BD3415"/>
    <w:rsid w:val="00BD378C"/>
    <w:rsid w:val="00BD47EE"/>
    <w:rsid w:val="00BD60D9"/>
    <w:rsid w:val="00BD640F"/>
    <w:rsid w:val="00BD643B"/>
    <w:rsid w:val="00BD7035"/>
    <w:rsid w:val="00BD71ED"/>
    <w:rsid w:val="00BD7BC9"/>
    <w:rsid w:val="00BE1660"/>
    <w:rsid w:val="00BE16FC"/>
    <w:rsid w:val="00BE2B49"/>
    <w:rsid w:val="00BE2E7E"/>
    <w:rsid w:val="00BE30E8"/>
    <w:rsid w:val="00BE3E74"/>
    <w:rsid w:val="00BE4D86"/>
    <w:rsid w:val="00BE4F82"/>
    <w:rsid w:val="00BE51A8"/>
    <w:rsid w:val="00BE53D1"/>
    <w:rsid w:val="00BE5BE6"/>
    <w:rsid w:val="00BE65B9"/>
    <w:rsid w:val="00BE6B8B"/>
    <w:rsid w:val="00BE7288"/>
    <w:rsid w:val="00BE779E"/>
    <w:rsid w:val="00BE786C"/>
    <w:rsid w:val="00BE7911"/>
    <w:rsid w:val="00BF00A8"/>
    <w:rsid w:val="00BF0579"/>
    <w:rsid w:val="00BF0C6D"/>
    <w:rsid w:val="00BF1870"/>
    <w:rsid w:val="00BF2786"/>
    <w:rsid w:val="00BF3844"/>
    <w:rsid w:val="00BF54AA"/>
    <w:rsid w:val="00C001B0"/>
    <w:rsid w:val="00C00E65"/>
    <w:rsid w:val="00C0235D"/>
    <w:rsid w:val="00C02534"/>
    <w:rsid w:val="00C0257E"/>
    <w:rsid w:val="00C04471"/>
    <w:rsid w:val="00C0476A"/>
    <w:rsid w:val="00C04D8B"/>
    <w:rsid w:val="00C05409"/>
    <w:rsid w:val="00C0557A"/>
    <w:rsid w:val="00C07149"/>
    <w:rsid w:val="00C07F1D"/>
    <w:rsid w:val="00C10C0C"/>
    <w:rsid w:val="00C110DC"/>
    <w:rsid w:val="00C11C2F"/>
    <w:rsid w:val="00C12F42"/>
    <w:rsid w:val="00C132B2"/>
    <w:rsid w:val="00C13334"/>
    <w:rsid w:val="00C13A7F"/>
    <w:rsid w:val="00C141E7"/>
    <w:rsid w:val="00C14DFE"/>
    <w:rsid w:val="00C1537F"/>
    <w:rsid w:val="00C15A64"/>
    <w:rsid w:val="00C16B11"/>
    <w:rsid w:val="00C16EC7"/>
    <w:rsid w:val="00C17669"/>
    <w:rsid w:val="00C17FEA"/>
    <w:rsid w:val="00C2086D"/>
    <w:rsid w:val="00C23E99"/>
    <w:rsid w:val="00C23EAC"/>
    <w:rsid w:val="00C24306"/>
    <w:rsid w:val="00C2479A"/>
    <w:rsid w:val="00C253BC"/>
    <w:rsid w:val="00C25D97"/>
    <w:rsid w:val="00C25E7F"/>
    <w:rsid w:val="00C2623B"/>
    <w:rsid w:val="00C265DE"/>
    <w:rsid w:val="00C26627"/>
    <w:rsid w:val="00C268EA"/>
    <w:rsid w:val="00C27100"/>
    <w:rsid w:val="00C27226"/>
    <w:rsid w:val="00C2771F"/>
    <w:rsid w:val="00C30127"/>
    <w:rsid w:val="00C30DAB"/>
    <w:rsid w:val="00C3225B"/>
    <w:rsid w:val="00C323ED"/>
    <w:rsid w:val="00C328BB"/>
    <w:rsid w:val="00C329D5"/>
    <w:rsid w:val="00C32B9D"/>
    <w:rsid w:val="00C32E8D"/>
    <w:rsid w:val="00C3303C"/>
    <w:rsid w:val="00C33D6B"/>
    <w:rsid w:val="00C341CA"/>
    <w:rsid w:val="00C349DD"/>
    <w:rsid w:val="00C35F71"/>
    <w:rsid w:val="00C35FC1"/>
    <w:rsid w:val="00C367BD"/>
    <w:rsid w:val="00C36D56"/>
    <w:rsid w:val="00C37187"/>
    <w:rsid w:val="00C37793"/>
    <w:rsid w:val="00C37AA1"/>
    <w:rsid w:val="00C407D3"/>
    <w:rsid w:val="00C415C7"/>
    <w:rsid w:val="00C418E3"/>
    <w:rsid w:val="00C41B63"/>
    <w:rsid w:val="00C42088"/>
    <w:rsid w:val="00C42B3B"/>
    <w:rsid w:val="00C42BF2"/>
    <w:rsid w:val="00C43571"/>
    <w:rsid w:val="00C43ED9"/>
    <w:rsid w:val="00C43FEE"/>
    <w:rsid w:val="00C440D0"/>
    <w:rsid w:val="00C442E2"/>
    <w:rsid w:val="00C45026"/>
    <w:rsid w:val="00C45679"/>
    <w:rsid w:val="00C45766"/>
    <w:rsid w:val="00C45BAF"/>
    <w:rsid w:val="00C45DF1"/>
    <w:rsid w:val="00C47811"/>
    <w:rsid w:val="00C50A0F"/>
    <w:rsid w:val="00C51648"/>
    <w:rsid w:val="00C516DE"/>
    <w:rsid w:val="00C51781"/>
    <w:rsid w:val="00C518CB"/>
    <w:rsid w:val="00C51E2B"/>
    <w:rsid w:val="00C52F11"/>
    <w:rsid w:val="00C531E8"/>
    <w:rsid w:val="00C5380A"/>
    <w:rsid w:val="00C54591"/>
    <w:rsid w:val="00C55B17"/>
    <w:rsid w:val="00C60B45"/>
    <w:rsid w:val="00C61895"/>
    <w:rsid w:val="00C61CA2"/>
    <w:rsid w:val="00C61F2B"/>
    <w:rsid w:val="00C6289A"/>
    <w:rsid w:val="00C6374C"/>
    <w:rsid w:val="00C63B14"/>
    <w:rsid w:val="00C63E9D"/>
    <w:rsid w:val="00C6487A"/>
    <w:rsid w:val="00C65014"/>
    <w:rsid w:val="00C664EA"/>
    <w:rsid w:val="00C66558"/>
    <w:rsid w:val="00C66BFF"/>
    <w:rsid w:val="00C67BC2"/>
    <w:rsid w:val="00C67DFB"/>
    <w:rsid w:val="00C70C28"/>
    <w:rsid w:val="00C72A4C"/>
    <w:rsid w:val="00C72D36"/>
    <w:rsid w:val="00C74128"/>
    <w:rsid w:val="00C74D69"/>
    <w:rsid w:val="00C75975"/>
    <w:rsid w:val="00C76980"/>
    <w:rsid w:val="00C76B9A"/>
    <w:rsid w:val="00C77134"/>
    <w:rsid w:val="00C77679"/>
    <w:rsid w:val="00C77846"/>
    <w:rsid w:val="00C80236"/>
    <w:rsid w:val="00C804B6"/>
    <w:rsid w:val="00C81096"/>
    <w:rsid w:val="00C8196F"/>
    <w:rsid w:val="00C821BC"/>
    <w:rsid w:val="00C82774"/>
    <w:rsid w:val="00C834A9"/>
    <w:rsid w:val="00C8373E"/>
    <w:rsid w:val="00C83CB8"/>
    <w:rsid w:val="00C84F1C"/>
    <w:rsid w:val="00C84FC8"/>
    <w:rsid w:val="00C85039"/>
    <w:rsid w:val="00C874DC"/>
    <w:rsid w:val="00C91382"/>
    <w:rsid w:val="00C91B33"/>
    <w:rsid w:val="00C92CCC"/>
    <w:rsid w:val="00C93179"/>
    <w:rsid w:val="00C93EBD"/>
    <w:rsid w:val="00C94D37"/>
    <w:rsid w:val="00C95230"/>
    <w:rsid w:val="00C95BC2"/>
    <w:rsid w:val="00C96665"/>
    <w:rsid w:val="00C969C2"/>
    <w:rsid w:val="00C96BA7"/>
    <w:rsid w:val="00C96CA0"/>
    <w:rsid w:val="00C97247"/>
    <w:rsid w:val="00CA03BB"/>
    <w:rsid w:val="00CA0410"/>
    <w:rsid w:val="00CA1104"/>
    <w:rsid w:val="00CA2851"/>
    <w:rsid w:val="00CA2D6A"/>
    <w:rsid w:val="00CA2DC3"/>
    <w:rsid w:val="00CA2EC7"/>
    <w:rsid w:val="00CA31BB"/>
    <w:rsid w:val="00CA31E9"/>
    <w:rsid w:val="00CA32D0"/>
    <w:rsid w:val="00CA474A"/>
    <w:rsid w:val="00CA73E5"/>
    <w:rsid w:val="00CB1016"/>
    <w:rsid w:val="00CB198E"/>
    <w:rsid w:val="00CB2A70"/>
    <w:rsid w:val="00CB2BDC"/>
    <w:rsid w:val="00CB39A6"/>
    <w:rsid w:val="00CB3FBA"/>
    <w:rsid w:val="00CB4E29"/>
    <w:rsid w:val="00CB5815"/>
    <w:rsid w:val="00CB5A23"/>
    <w:rsid w:val="00CB5D4C"/>
    <w:rsid w:val="00CB7565"/>
    <w:rsid w:val="00CB7DE9"/>
    <w:rsid w:val="00CC0417"/>
    <w:rsid w:val="00CC100F"/>
    <w:rsid w:val="00CC11D5"/>
    <w:rsid w:val="00CC163E"/>
    <w:rsid w:val="00CC1B0F"/>
    <w:rsid w:val="00CC20D2"/>
    <w:rsid w:val="00CC22C8"/>
    <w:rsid w:val="00CC2D88"/>
    <w:rsid w:val="00CC31E1"/>
    <w:rsid w:val="00CC4414"/>
    <w:rsid w:val="00CC4C4D"/>
    <w:rsid w:val="00CC4F64"/>
    <w:rsid w:val="00CC5352"/>
    <w:rsid w:val="00CC7111"/>
    <w:rsid w:val="00CC77FD"/>
    <w:rsid w:val="00CD05B5"/>
    <w:rsid w:val="00CD10AD"/>
    <w:rsid w:val="00CD29A3"/>
    <w:rsid w:val="00CD31C3"/>
    <w:rsid w:val="00CD5E6A"/>
    <w:rsid w:val="00CD6F77"/>
    <w:rsid w:val="00CE0A20"/>
    <w:rsid w:val="00CE1648"/>
    <w:rsid w:val="00CE4F5E"/>
    <w:rsid w:val="00CE5984"/>
    <w:rsid w:val="00CE60BB"/>
    <w:rsid w:val="00CF0021"/>
    <w:rsid w:val="00CF00E1"/>
    <w:rsid w:val="00CF029A"/>
    <w:rsid w:val="00CF0E4D"/>
    <w:rsid w:val="00CF13FC"/>
    <w:rsid w:val="00CF17AE"/>
    <w:rsid w:val="00CF1843"/>
    <w:rsid w:val="00CF188F"/>
    <w:rsid w:val="00CF2D8F"/>
    <w:rsid w:val="00CF39DB"/>
    <w:rsid w:val="00CF40EE"/>
    <w:rsid w:val="00CF60FE"/>
    <w:rsid w:val="00CF658E"/>
    <w:rsid w:val="00CF720F"/>
    <w:rsid w:val="00D0154E"/>
    <w:rsid w:val="00D01D2C"/>
    <w:rsid w:val="00D023F9"/>
    <w:rsid w:val="00D0247A"/>
    <w:rsid w:val="00D027BC"/>
    <w:rsid w:val="00D035BF"/>
    <w:rsid w:val="00D03A59"/>
    <w:rsid w:val="00D0467F"/>
    <w:rsid w:val="00D04A49"/>
    <w:rsid w:val="00D058ED"/>
    <w:rsid w:val="00D05ADA"/>
    <w:rsid w:val="00D05D7F"/>
    <w:rsid w:val="00D07A40"/>
    <w:rsid w:val="00D1065B"/>
    <w:rsid w:val="00D106DA"/>
    <w:rsid w:val="00D10E97"/>
    <w:rsid w:val="00D12056"/>
    <w:rsid w:val="00D1264B"/>
    <w:rsid w:val="00D12EC2"/>
    <w:rsid w:val="00D134CF"/>
    <w:rsid w:val="00D13A5B"/>
    <w:rsid w:val="00D14434"/>
    <w:rsid w:val="00D14C47"/>
    <w:rsid w:val="00D162FC"/>
    <w:rsid w:val="00D179FA"/>
    <w:rsid w:val="00D17E3B"/>
    <w:rsid w:val="00D20E1B"/>
    <w:rsid w:val="00D21A7E"/>
    <w:rsid w:val="00D23331"/>
    <w:rsid w:val="00D24F43"/>
    <w:rsid w:val="00D26006"/>
    <w:rsid w:val="00D26AE1"/>
    <w:rsid w:val="00D27CB3"/>
    <w:rsid w:val="00D27DC3"/>
    <w:rsid w:val="00D333AB"/>
    <w:rsid w:val="00D33BB4"/>
    <w:rsid w:val="00D34942"/>
    <w:rsid w:val="00D359AE"/>
    <w:rsid w:val="00D37881"/>
    <w:rsid w:val="00D40247"/>
    <w:rsid w:val="00D40E63"/>
    <w:rsid w:val="00D41249"/>
    <w:rsid w:val="00D415D1"/>
    <w:rsid w:val="00D42117"/>
    <w:rsid w:val="00D45336"/>
    <w:rsid w:val="00D456CE"/>
    <w:rsid w:val="00D456FC"/>
    <w:rsid w:val="00D46260"/>
    <w:rsid w:val="00D47069"/>
    <w:rsid w:val="00D47975"/>
    <w:rsid w:val="00D51F8F"/>
    <w:rsid w:val="00D52A8C"/>
    <w:rsid w:val="00D52F64"/>
    <w:rsid w:val="00D52FAE"/>
    <w:rsid w:val="00D536A1"/>
    <w:rsid w:val="00D538D3"/>
    <w:rsid w:val="00D53A0E"/>
    <w:rsid w:val="00D53DBB"/>
    <w:rsid w:val="00D53DCB"/>
    <w:rsid w:val="00D5503A"/>
    <w:rsid w:val="00D55CF3"/>
    <w:rsid w:val="00D57D63"/>
    <w:rsid w:val="00D61A6D"/>
    <w:rsid w:val="00D61B6E"/>
    <w:rsid w:val="00D61C75"/>
    <w:rsid w:val="00D61D48"/>
    <w:rsid w:val="00D6226F"/>
    <w:rsid w:val="00D62497"/>
    <w:rsid w:val="00D6365F"/>
    <w:rsid w:val="00D63CC9"/>
    <w:rsid w:val="00D64BC1"/>
    <w:rsid w:val="00D710BE"/>
    <w:rsid w:val="00D711D8"/>
    <w:rsid w:val="00D7165D"/>
    <w:rsid w:val="00D72837"/>
    <w:rsid w:val="00D72935"/>
    <w:rsid w:val="00D72D2B"/>
    <w:rsid w:val="00D73279"/>
    <w:rsid w:val="00D74DF1"/>
    <w:rsid w:val="00D7572F"/>
    <w:rsid w:val="00D760DC"/>
    <w:rsid w:val="00D7615E"/>
    <w:rsid w:val="00D76599"/>
    <w:rsid w:val="00D765EB"/>
    <w:rsid w:val="00D76BC0"/>
    <w:rsid w:val="00D7767B"/>
    <w:rsid w:val="00D77880"/>
    <w:rsid w:val="00D77BE4"/>
    <w:rsid w:val="00D80596"/>
    <w:rsid w:val="00D81D12"/>
    <w:rsid w:val="00D83EB2"/>
    <w:rsid w:val="00D84541"/>
    <w:rsid w:val="00D84CBD"/>
    <w:rsid w:val="00D85336"/>
    <w:rsid w:val="00D859E8"/>
    <w:rsid w:val="00D85A26"/>
    <w:rsid w:val="00D85FA6"/>
    <w:rsid w:val="00D860F8"/>
    <w:rsid w:val="00D8676D"/>
    <w:rsid w:val="00D868FE"/>
    <w:rsid w:val="00D86D9B"/>
    <w:rsid w:val="00D87110"/>
    <w:rsid w:val="00D90C93"/>
    <w:rsid w:val="00D91303"/>
    <w:rsid w:val="00D91D7A"/>
    <w:rsid w:val="00D9238F"/>
    <w:rsid w:val="00D93F83"/>
    <w:rsid w:val="00D94BCF"/>
    <w:rsid w:val="00D958C2"/>
    <w:rsid w:val="00D9672A"/>
    <w:rsid w:val="00D96A57"/>
    <w:rsid w:val="00D97523"/>
    <w:rsid w:val="00DA00DE"/>
    <w:rsid w:val="00DA0452"/>
    <w:rsid w:val="00DA04D1"/>
    <w:rsid w:val="00DA199D"/>
    <w:rsid w:val="00DA1A75"/>
    <w:rsid w:val="00DA1F25"/>
    <w:rsid w:val="00DA2159"/>
    <w:rsid w:val="00DA21AB"/>
    <w:rsid w:val="00DA22BF"/>
    <w:rsid w:val="00DA2A59"/>
    <w:rsid w:val="00DA2F5B"/>
    <w:rsid w:val="00DA31D4"/>
    <w:rsid w:val="00DA3A7F"/>
    <w:rsid w:val="00DA407A"/>
    <w:rsid w:val="00DA5243"/>
    <w:rsid w:val="00DA57DB"/>
    <w:rsid w:val="00DA5DDE"/>
    <w:rsid w:val="00DA6012"/>
    <w:rsid w:val="00DA60E1"/>
    <w:rsid w:val="00DA6283"/>
    <w:rsid w:val="00DA7677"/>
    <w:rsid w:val="00DA799F"/>
    <w:rsid w:val="00DB09F0"/>
    <w:rsid w:val="00DB0FF0"/>
    <w:rsid w:val="00DB113B"/>
    <w:rsid w:val="00DB1230"/>
    <w:rsid w:val="00DB14EC"/>
    <w:rsid w:val="00DB1C63"/>
    <w:rsid w:val="00DB2440"/>
    <w:rsid w:val="00DB3B51"/>
    <w:rsid w:val="00DB5205"/>
    <w:rsid w:val="00DB5B95"/>
    <w:rsid w:val="00DB5DDD"/>
    <w:rsid w:val="00DB66F3"/>
    <w:rsid w:val="00DB6793"/>
    <w:rsid w:val="00DB6B71"/>
    <w:rsid w:val="00DB6E18"/>
    <w:rsid w:val="00DB73D8"/>
    <w:rsid w:val="00DC0E80"/>
    <w:rsid w:val="00DC1A2C"/>
    <w:rsid w:val="00DC1B95"/>
    <w:rsid w:val="00DC1EEB"/>
    <w:rsid w:val="00DC2342"/>
    <w:rsid w:val="00DC3637"/>
    <w:rsid w:val="00DC3A9C"/>
    <w:rsid w:val="00DC3B3B"/>
    <w:rsid w:val="00DC4318"/>
    <w:rsid w:val="00DC5028"/>
    <w:rsid w:val="00DC55B9"/>
    <w:rsid w:val="00DC55C5"/>
    <w:rsid w:val="00DC61D7"/>
    <w:rsid w:val="00DC6365"/>
    <w:rsid w:val="00DC7433"/>
    <w:rsid w:val="00DC7C0D"/>
    <w:rsid w:val="00DD016C"/>
    <w:rsid w:val="00DD0C53"/>
    <w:rsid w:val="00DD178E"/>
    <w:rsid w:val="00DD1874"/>
    <w:rsid w:val="00DD2033"/>
    <w:rsid w:val="00DD2286"/>
    <w:rsid w:val="00DD236A"/>
    <w:rsid w:val="00DD246C"/>
    <w:rsid w:val="00DD2C0B"/>
    <w:rsid w:val="00DD42E9"/>
    <w:rsid w:val="00DD4571"/>
    <w:rsid w:val="00DD5176"/>
    <w:rsid w:val="00DD5503"/>
    <w:rsid w:val="00DD5BED"/>
    <w:rsid w:val="00DD7C93"/>
    <w:rsid w:val="00DD7FCB"/>
    <w:rsid w:val="00DE00CB"/>
    <w:rsid w:val="00DE05A8"/>
    <w:rsid w:val="00DE06DC"/>
    <w:rsid w:val="00DE0704"/>
    <w:rsid w:val="00DE0B39"/>
    <w:rsid w:val="00DE0B4E"/>
    <w:rsid w:val="00DE1C91"/>
    <w:rsid w:val="00DE2683"/>
    <w:rsid w:val="00DE26AB"/>
    <w:rsid w:val="00DE27B6"/>
    <w:rsid w:val="00DE2869"/>
    <w:rsid w:val="00DE3F78"/>
    <w:rsid w:val="00DE4104"/>
    <w:rsid w:val="00DE4706"/>
    <w:rsid w:val="00DE49A2"/>
    <w:rsid w:val="00DE4B3F"/>
    <w:rsid w:val="00DE6337"/>
    <w:rsid w:val="00DE65FF"/>
    <w:rsid w:val="00DE740F"/>
    <w:rsid w:val="00DE7F97"/>
    <w:rsid w:val="00DF0D36"/>
    <w:rsid w:val="00DF1462"/>
    <w:rsid w:val="00DF252E"/>
    <w:rsid w:val="00DF29D5"/>
    <w:rsid w:val="00DF32DD"/>
    <w:rsid w:val="00DF3BBF"/>
    <w:rsid w:val="00DF3C2F"/>
    <w:rsid w:val="00DF57A5"/>
    <w:rsid w:val="00DF640E"/>
    <w:rsid w:val="00DF6554"/>
    <w:rsid w:val="00DF6A2F"/>
    <w:rsid w:val="00DF6D2C"/>
    <w:rsid w:val="00DF702F"/>
    <w:rsid w:val="00DF7357"/>
    <w:rsid w:val="00E00D75"/>
    <w:rsid w:val="00E01D2C"/>
    <w:rsid w:val="00E01F30"/>
    <w:rsid w:val="00E021F8"/>
    <w:rsid w:val="00E02A62"/>
    <w:rsid w:val="00E04C26"/>
    <w:rsid w:val="00E04C9D"/>
    <w:rsid w:val="00E06182"/>
    <w:rsid w:val="00E06206"/>
    <w:rsid w:val="00E06443"/>
    <w:rsid w:val="00E064DA"/>
    <w:rsid w:val="00E06AA8"/>
    <w:rsid w:val="00E07451"/>
    <w:rsid w:val="00E07B2F"/>
    <w:rsid w:val="00E100F8"/>
    <w:rsid w:val="00E10179"/>
    <w:rsid w:val="00E101E4"/>
    <w:rsid w:val="00E10388"/>
    <w:rsid w:val="00E11472"/>
    <w:rsid w:val="00E1168C"/>
    <w:rsid w:val="00E127D4"/>
    <w:rsid w:val="00E127EC"/>
    <w:rsid w:val="00E12FC1"/>
    <w:rsid w:val="00E133AF"/>
    <w:rsid w:val="00E13521"/>
    <w:rsid w:val="00E13D31"/>
    <w:rsid w:val="00E14C36"/>
    <w:rsid w:val="00E16048"/>
    <w:rsid w:val="00E16490"/>
    <w:rsid w:val="00E16C3E"/>
    <w:rsid w:val="00E17AB6"/>
    <w:rsid w:val="00E17F13"/>
    <w:rsid w:val="00E20C45"/>
    <w:rsid w:val="00E20FBE"/>
    <w:rsid w:val="00E21DE4"/>
    <w:rsid w:val="00E221C9"/>
    <w:rsid w:val="00E24584"/>
    <w:rsid w:val="00E24D70"/>
    <w:rsid w:val="00E24F66"/>
    <w:rsid w:val="00E24F8C"/>
    <w:rsid w:val="00E257C2"/>
    <w:rsid w:val="00E2619E"/>
    <w:rsid w:val="00E26B2B"/>
    <w:rsid w:val="00E26E1D"/>
    <w:rsid w:val="00E27A72"/>
    <w:rsid w:val="00E27C27"/>
    <w:rsid w:val="00E30644"/>
    <w:rsid w:val="00E30C63"/>
    <w:rsid w:val="00E31335"/>
    <w:rsid w:val="00E31B3F"/>
    <w:rsid w:val="00E322F7"/>
    <w:rsid w:val="00E33660"/>
    <w:rsid w:val="00E33C8E"/>
    <w:rsid w:val="00E345D1"/>
    <w:rsid w:val="00E34753"/>
    <w:rsid w:val="00E4062B"/>
    <w:rsid w:val="00E40ACB"/>
    <w:rsid w:val="00E4105F"/>
    <w:rsid w:val="00E42F24"/>
    <w:rsid w:val="00E430FA"/>
    <w:rsid w:val="00E43275"/>
    <w:rsid w:val="00E43ED3"/>
    <w:rsid w:val="00E44600"/>
    <w:rsid w:val="00E44630"/>
    <w:rsid w:val="00E44B34"/>
    <w:rsid w:val="00E44FA9"/>
    <w:rsid w:val="00E45B0F"/>
    <w:rsid w:val="00E462EC"/>
    <w:rsid w:val="00E4690D"/>
    <w:rsid w:val="00E46D86"/>
    <w:rsid w:val="00E46DA4"/>
    <w:rsid w:val="00E476BC"/>
    <w:rsid w:val="00E5044A"/>
    <w:rsid w:val="00E50816"/>
    <w:rsid w:val="00E51701"/>
    <w:rsid w:val="00E5196D"/>
    <w:rsid w:val="00E51AEC"/>
    <w:rsid w:val="00E528E7"/>
    <w:rsid w:val="00E53E97"/>
    <w:rsid w:val="00E5431F"/>
    <w:rsid w:val="00E544A2"/>
    <w:rsid w:val="00E55991"/>
    <w:rsid w:val="00E56143"/>
    <w:rsid w:val="00E56A1D"/>
    <w:rsid w:val="00E5737E"/>
    <w:rsid w:val="00E575A3"/>
    <w:rsid w:val="00E6018B"/>
    <w:rsid w:val="00E6285F"/>
    <w:rsid w:val="00E63A27"/>
    <w:rsid w:val="00E645FE"/>
    <w:rsid w:val="00E64776"/>
    <w:rsid w:val="00E649C0"/>
    <w:rsid w:val="00E64B05"/>
    <w:rsid w:val="00E64CF7"/>
    <w:rsid w:val="00E65CA1"/>
    <w:rsid w:val="00E675BB"/>
    <w:rsid w:val="00E675E8"/>
    <w:rsid w:val="00E711F2"/>
    <w:rsid w:val="00E714AF"/>
    <w:rsid w:val="00E71AAF"/>
    <w:rsid w:val="00E71ACE"/>
    <w:rsid w:val="00E71BCB"/>
    <w:rsid w:val="00E71EC2"/>
    <w:rsid w:val="00E72BB1"/>
    <w:rsid w:val="00E73E76"/>
    <w:rsid w:val="00E74FF5"/>
    <w:rsid w:val="00E75704"/>
    <w:rsid w:val="00E75C0D"/>
    <w:rsid w:val="00E762CA"/>
    <w:rsid w:val="00E76F27"/>
    <w:rsid w:val="00E77052"/>
    <w:rsid w:val="00E8065B"/>
    <w:rsid w:val="00E81017"/>
    <w:rsid w:val="00E8356B"/>
    <w:rsid w:val="00E837CC"/>
    <w:rsid w:val="00E84612"/>
    <w:rsid w:val="00E84F99"/>
    <w:rsid w:val="00E853F7"/>
    <w:rsid w:val="00E856CE"/>
    <w:rsid w:val="00E904B2"/>
    <w:rsid w:val="00E9153B"/>
    <w:rsid w:val="00E91553"/>
    <w:rsid w:val="00E92549"/>
    <w:rsid w:val="00E92BDF"/>
    <w:rsid w:val="00E92F49"/>
    <w:rsid w:val="00E9329B"/>
    <w:rsid w:val="00E9431E"/>
    <w:rsid w:val="00E9464E"/>
    <w:rsid w:val="00E94742"/>
    <w:rsid w:val="00E948DE"/>
    <w:rsid w:val="00E953E6"/>
    <w:rsid w:val="00E9635D"/>
    <w:rsid w:val="00E96B9B"/>
    <w:rsid w:val="00E96F9A"/>
    <w:rsid w:val="00EA0F8E"/>
    <w:rsid w:val="00EA1126"/>
    <w:rsid w:val="00EA1275"/>
    <w:rsid w:val="00EA3638"/>
    <w:rsid w:val="00EA36FE"/>
    <w:rsid w:val="00EA39AA"/>
    <w:rsid w:val="00EA4C0B"/>
    <w:rsid w:val="00EA60C0"/>
    <w:rsid w:val="00EA6381"/>
    <w:rsid w:val="00EA7D06"/>
    <w:rsid w:val="00EA7FD6"/>
    <w:rsid w:val="00EB0E60"/>
    <w:rsid w:val="00EB133C"/>
    <w:rsid w:val="00EB14D7"/>
    <w:rsid w:val="00EB1758"/>
    <w:rsid w:val="00EB246D"/>
    <w:rsid w:val="00EB300D"/>
    <w:rsid w:val="00EB455D"/>
    <w:rsid w:val="00EB4A80"/>
    <w:rsid w:val="00EB7226"/>
    <w:rsid w:val="00EB73F6"/>
    <w:rsid w:val="00EB7817"/>
    <w:rsid w:val="00EB78A6"/>
    <w:rsid w:val="00EB7F31"/>
    <w:rsid w:val="00EC05D4"/>
    <w:rsid w:val="00EC0811"/>
    <w:rsid w:val="00EC172B"/>
    <w:rsid w:val="00EC1916"/>
    <w:rsid w:val="00EC211F"/>
    <w:rsid w:val="00EC2183"/>
    <w:rsid w:val="00EC2372"/>
    <w:rsid w:val="00EC2A24"/>
    <w:rsid w:val="00EC2BD5"/>
    <w:rsid w:val="00EC4D8C"/>
    <w:rsid w:val="00EC4EDC"/>
    <w:rsid w:val="00EC540F"/>
    <w:rsid w:val="00EC6648"/>
    <w:rsid w:val="00EC7A58"/>
    <w:rsid w:val="00ED08A8"/>
    <w:rsid w:val="00ED2719"/>
    <w:rsid w:val="00ED2ED6"/>
    <w:rsid w:val="00ED3EF4"/>
    <w:rsid w:val="00ED40FD"/>
    <w:rsid w:val="00ED4212"/>
    <w:rsid w:val="00ED54B2"/>
    <w:rsid w:val="00ED617A"/>
    <w:rsid w:val="00ED6186"/>
    <w:rsid w:val="00ED660E"/>
    <w:rsid w:val="00ED75DC"/>
    <w:rsid w:val="00ED7CEE"/>
    <w:rsid w:val="00EE0B76"/>
    <w:rsid w:val="00EE10B3"/>
    <w:rsid w:val="00EE138C"/>
    <w:rsid w:val="00EE226B"/>
    <w:rsid w:val="00EE23A0"/>
    <w:rsid w:val="00EE3890"/>
    <w:rsid w:val="00EE40F2"/>
    <w:rsid w:val="00EE4A3F"/>
    <w:rsid w:val="00EE52C5"/>
    <w:rsid w:val="00EE5E73"/>
    <w:rsid w:val="00EE659E"/>
    <w:rsid w:val="00EE6A32"/>
    <w:rsid w:val="00EE6E4C"/>
    <w:rsid w:val="00EE7142"/>
    <w:rsid w:val="00EF060A"/>
    <w:rsid w:val="00EF06AB"/>
    <w:rsid w:val="00EF0795"/>
    <w:rsid w:val="00EF1E84"/>
    <w:rsid w:val="00EF30DD"/>
    <w:rsid w:val="00EF3632"/>
    <w:rsid w:val="00EF3CD5"/>
    <w:rsid w:val="00EF40C2"/>
    <w:rsid w:val="00EF525A"/>
    <w:rsid w:val="00EF5A02"/>
    <w:rsid w:val="00EF5CBF"/>
    <w:rsid w:val="00EF5FF2"/>
    <w:rsid w:val="00EF75F9"/>
    <w:rsid w:val="00EF7AF7"/>
    <w:rsid w:val="00EF7F37"/>
    <w:rsid w:val="00F01478"/>
    <w:rsid w:val="00F018F6"/>
    <w:rsid w:val="00F0239E"/>
    <w:rsid w:val="00F03DCD"/>
    <w:rsid w:val="00F04A7D"/>
    <w:rsid w:val="00F04E83"/>
    <w:rsid w:val="00F0596A"/>
    <w:rsid w:val="00F059E0"/>
    <w:rsid w:val="00F06505"/>
    <w:rsid w:val="00F06BCD"/>
    <w:rsid w:val="00F07608"/>
    <w:rsid w:val="00F106B5"/>
    <w:rsid w:val="00F107D5"/>
    <w:rsid w:val="00F112C5"/>
    <w:rsid w:val="00F11648"/>
    <w:rsid w:val="00F13767"/>
    <w:rsid w:val="00F20868"/>
    <w:rsid w:val="00F20ADC"/>
    <w:rsid w:val="00F21B82"/>
    <w:rsid w:val="00F22C45"/>
    <w:rsid w:val="00F24144"/>
    <w:rsid w:val="00F255F9"/>
    <w:rsid w:val="00F25A93"/>
    <w:rsid w:val="00F2675A"/>
    <w:rsid w:val="00F271A3"/>
    <w:rsid w:val="00F2728E"/>
    <w:rsid w:val="00F27F94"/>
    <w:rsid w:val="00F306F6"/>
    <w:rsid w:val="00F32EC9"/>
    <w:rsid w:val="00F32F4C"/>
    <w:rsid w:val="00F3355A"/>
    <w:rsid w:val="00F33E72"/>
    <w:rsid w:val="00F34AD3"/>
    <w:rsid w:val="00F3562C"/>
    <w:rsid w:val="00F356C4"/>
    <w:rsid w:val="00F35719"/>
    <w:rsid w:val="00F3584B"/>
    <w:rsid w:val="00F359F6"/>
    <w:rsid w:val="00F363D7"/>
    <w:rsid w:val="00F36DFF"/>
    <w:rsid w:val="00F37330"/>
    <w:rsid w:val="00F3795A"/>
    <w:rsid w:val="00F409EF"/>
    <w:rsid w:val="00F41A8B"/>
    <w:rsid w:val="00F42829"/>
    <w:rsid w:val="00F431AF"/>
    <w:rsid w:val="00F43450"/>
    <w:rsid w:val="00F43AC3"/>
    <w:rsid w:val="00F443A2"/>
    <w:rsid w:val="00F443C3"/>
    <w:rsid w:val="00F4568E"/>
    <w:rsid w:val="00F45CD2"/>
    <w:rsid w:val="00F469CA"/>
    <w:rsid w:val="00F46DE1"/>
    <w:rsid w:val="00F47141"/>
    <w:rsid w:val="00F47605"/>
    <w:rsid w:val="00F507FF"/>
    <w:rsid w:val="00F50E62"/>
    <w:rsid w:val="00F515F4"/>
    <w:rsid w:val="00F53025"/>
    <w:rsid w:val="00F53679"/>
    <w:rsid w:val="00F53A8A"/>
    <w:rsid w:val="00F53FC4"/>
    <w:rsid w:val="00F54AC4"/>
    <w:rsid w:val="00F5588E"/>
    <w:rsid w:val="00F55A13"/>
    <w:rsid w:val="00F56472"/>
    <w:rsid w:val="00F56AA6"/>
    <w:rsid w:val="00F57777"/>
    <w:rsid w:val="00F60293"/>
    <w:rsid w:val="00F60A73"/>
    <w:rsid w:val="00F60F84"/>
    <w:rsid w:val="00F615AB"/>
    <w:rsid w:val="00F61D34"/>
    <w:rsid w:val="00F61DDC"/>
    <w:rsid w:val="00F63583"/>
    <w:rsid w:val="00F63770"/>
    <w:rsid w:val="00F648D0"/>
    <w:rsid w:val="00F66B11"/>
    <w:rsid w:val="00F66B6F"/>
    <w:rsid w:val="00F67028"/>
    <w:rsid w:val="00F6715D"/>
    <w:rsid w:val="00F67584"/>
    <w:rsid w:val="00F70501"/>
    <w:rsid w:val="00F71E5C"/>
    <w:rsid w:val="00F72211"/>
    <w:rsid w:val="00F72699"/>
    <w:rsid w:val="00F731CC"/>
    <w:rsid w:val="00F73DB5"/>
    <w:rsid w:val="00F73F0A"/>
    <w:rsid w:val="00F73FCF"/>
    <w:rsid w:val="00F7684C"/>
    <w:rsid w:val="00F8058A"/>
    <w:rsid w:val="00F85370"/>
    <w:rsid w:val="00F85BA0"/>
    <w:rsid w:val="00F86773"/>
    <w:rsid w:val="00F8729B"/>
    <w:rsid w:val="00F87546"/>
    <w:rsid w:val="00F87D88"/>
    <w:rsid w:val="00F902F1"/>
    <w:rsid w:val="00F90B13"/>
    <w:rsid w:val="00F91340"/>
    <w:rsid w:val="00F91685"/>
    <w:rsid w:val="00F9282C"/>
    <w:rsid w:val="00F92CC9"/>
    <w:rsid w:val="00F92F04"/>
    <w:rsid w:val="00F949A3"/>
    <w:rsid w:val="00F94AEE"/>
    <w:rsid w:val="00F94DF1"/>
    <w:rsid w:val="00F94F95"/>
    <w:rsid w:val="00F95D84"/>
    <w:rsid w:val="00F960EE"/>
    <w:rsid w:val="00F96DC7"/>
    <w:rsid w:val="00F97327"/>
    <w:rsid w:val="00F9771B"/>
    <w:rsid w:val="00F97F4C"/>
    <w:rsid w:val="00FA25ED"/>
    <w:rsid w:val="00FA293E"/>
    <w:rsid w:val="00FA2B61"/>
    <w:rsid w:val="00FA2CC1"/>
    <w:rsid w:val="00FA324B"/>
    <w:rsid w:val="00FA3842"/>
    <w:rsid w:val="00FA3F23"/>
    <w:rsid w:val="00FA493C"/>
    <w:rsid w:val="00FA4F68"/>
    <w:rsid w:val="00FA6F01"/>
    <w:rsid w:val="00FB1869"/>
    <w:rsid w:val="00FB3797"/>
    <w:rsid w:val="00FB3DA2"/>
    <w:rsid w:val="00FB3EFE"/>
    <w:rsid w:val="00FB3F13"/>
    <w:rsid w:val="00FB42F4"/>
    <w:rsid w:val="00FB5814"/>
    <w:rsid w:val="00FB5973"/>
    <w:rsid w:val="00FB68D9"/>
    <w:rsid w:val="00FB6AAE"/>
    <w:rsid w:val="00FB724A"/>
    <w:rsid w:val="00FC06DA"/>
    <w:rsid w:val="00FC0D89"/>
    <w:rsid w:val="00FC196E"/>
    <w:rsid w:val="00FC2442"/>
    <w:rsid w:val="00FC24CB"/>
    <w:rsid w:val="00FC32B5"/>
    <w:rsid w:val="00FC3C61"/>
    <w:rsid w:val="00FC3F40"/>
    <w:rsid w:val="00FC3F4C"/>
    <w:rsid w:val="00FC423B"/>
    <w:rsid w:val="00FC47CA"/>
    <w:rsid w:val="00FC5095"/>
    <w:rsid w:val="00FC74E5"/>
    <w:rsid w:val="00FC761E"/>
    <w:rsid w:val="00FD0927"/>
    <w:rsid w:val="00FD1269"/>
    <w:rsid w:val="00FD22E9"/>
    <w:rsid w:val="00FD2716"/>
    <w:rsid w:val="00FD29B5"/>
    <w:rsid w:val="00FD2A2C"/>
    <w:rsid w:val="00FD3105"/>
    <w:rsid w:val="00FD4768"/>
    <w:rsid w:val="00FD4CD4"/>
    <w:rsid w:val="00FD5B8E"/>
    <w:rsid w:val="00FD7D6E"/>
    <w:rsid w:val="00FD7E40"/>
    <w:rsid w:val="00FE054C"/>
    <w:rsid w:val="00FE0C32"/>
    <w:rsid w:val="00FE22C2"/>
    <w:rsid w:val="00FE22F9"/>
    <w:rsid w:val="00FE24A7"/>
    <w:rsid w:val="00FE4310"/>
    <w:rsid w:val="00FE45B0"/>
    <w:rsid w:val="00FE587A"/>
    <w:rsid w:val="00FE629D"/>
    <w:rsid w:val="00FE6F4A"/>
    <w:rsid w:val="00FE7382"/>
    <w:rsid w:val="00FF10DA"/>
    <w:rsid w:val="00FF14AB"/>
    <w:rsid w:val="00FF158E"/>
    <w:rsid w:val="00FF3A15"/>
    <w:rsid w:val="00FF4774"/>
    <w:rsid w:val="00FF499E"/>
    <w:rsid w:val="00FF68D1"/>
    <w:rsid w:val="00FF6CEE"/>
    <w:rsid w:val="00FF73FC"/>
    <w:rsid w:val="00FF766F"/>
    <w:rsid w:val="024586C6"/>
    <w:rsid w:val="0412748B"/>
    <w:rsid w:val="090FCBD3"/>
    <w:rsid w:val="15654AFD"/>
    <w:rsid w:val="166D343B"/>
    <w:rsid w:val="247B54AF"/>
    <w:rsid w:val="24C1C794"/>
    <w:rsid w:val="3A851299"/>
    <w:rsid w:val="3AA5C39C"/>
    <w:rsid w:val="44DB585B"/>
    <w:rsid w:val="47CD6AB6"/>
    <w:rsid w:val="560260F7"/>
    <w:rsid w:val="5E60B1D7"/>
    <w:rsid w:val="5FCE4C84"/>
    <w:rsid w:val="6738CD14"/>
    <w:rsid w:val="677A0C88"/>
    <w:rsid w:val="68848A1A"/>
    <w:rsid w:val="6A67FDE5"/>
    <w:rsid w:val="6AE82032"/>
    <w:rsid w:val="77AA4A14"/>
    <w:rsid w:val="77B4EA58"/>
    <w:rsid w:val="7C5F15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48F9"/>
  <w15:docId w15:val="{F33F53CC-9C8A-493C-8198-9AF9A6D4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CF1"/>
  </w:style>
  <w:style w:type="paragraph" w:styleId="Heading1">
    <w:name w:val="heading 1"/>
    <w:basedOn w:val="Base"/>
    <w:next w:val="BodyTextFirst"/>
    <w:link w:val="Heading1Char"/>
    <w:uiPriority w:val="9"/>
    <w:qFormat/>
    <w:rsid w:val="00AD1CBB"/>
    <w:pPr>
      <w:keepNext/>
      <w:keepLines/>
      <w:numPr>
        <w:numId w:val="6"/>
      </w:numPr>
      <w:spacing w:before="200" w:after="240"/>
      <w:outlineLvl w:val="0"/>
    </w:pPr>
    <w:rPr>
      <w:rFonts w:asciiTheme="majorHAnsi" w:eastAsiaTheme="majorEastAsia" w:hAnsiTheme="majorHAnsi" w:cstheme="majorBidi"/>
      <w:bCs/>
      <w:color w:val="4F748B"/>
      <w:sz w:val="32"/>
      <w:szCs w:val="28"/>
    </w:rPr>
  </w:style>
  <w:style w:type="paragraph" w:styleId="Heading2">
    <w:name w:val="heading 2"/>
    <w:basedOn w:val="Heading1"/>
    <w:next w:val="BodyTextFirst"/>
    <w:link w:val="Heading2Char"/>
    <w:uiPriority w:val="9"/>
    <w:unhideWhenUsed/>
    <w:qFormat/>
    <w:rsid w:val="00AD1CBB"/>
    <w:pPr>
      <w:numPr>
        <w:ilvl w:val="1"/>
      </w:numPr>
      <w:spacing w:after="120"/>
      <w:outlineLvl w:val="1"/>
    </w:pPr>
    <w:rPr>
      <w:b/>
      <w:bCs w:val="0"/>
      <w:color w:val="auto"/>
      <w:sz w:val="20"/>
      <w:szCs w:val="26"/>
    </w:rPr>
  </w:style>
  <w:style w:type="paragraph" w:styleId="Heading3">
    <w:name w:val="heading 3"/>
    <w:basedOn w:val="Heading2"/>
    <w:next w:val="BodyTextFirst"/>
    <w:link w:val="Heading3Char"/>
    <w:uiPriority w:val="9"/>
    <w:unhideWhenUsed/>
    <w:qFormat/>
    <w:rsid w:val="00AD1CBB"/>
    <w:pPr>
      <w:numPr>
        <w:ilvl w:val="2"/>
      </w:numPr>
      <w:outlineLvl w:val="2"/>
    </w:pPr>
    <w:rPr>
      <w:b w:val="0"/>
      <w:bCs/>
      <w:color w:val="4F748B"/>
    </w:rPr>
  </w:style>
  <w:style w:type="paragraph" w:styleId="Heading4">
    <w:name w:val="heading 4"/>
    <w:basedOn w:val="Heading3"/>
    <w:next w:val="BodyTextFirst"/>
    <w:link w:val="Heading4Char"/>
    <w:uiPriority w:val="9"/>
    <w:unhideWhenUsed/>
    <w:qFormat/>
    <w:rsid w:val="00AD1CBB"/>
    <w:pPr>
      <w:numPr>
        <w:ilvl w:val="3"/>
      </w:numPr>
      <w:outlineLvl w:val="3"/>
    </w:pPr>
    <w:rPr>
      <w:b/>
      <w:bCs w:val="0"/>
      <w:iCs/>
      <w:sz w:val="18"/>
    </w:rPr>
  </w:style>
  <w:style w:type="paragraph" w:styleId="Heading5">
    <w:name w:val="heading 5"/>
    <w:basedOn w:val="Heading4"/>
    <w:next w:val="BodyTextFirst"/>
    <w:link w:val="Heading5Char"/>
    <w:uiPriority w:val="9"/>
    <w:unhideWhenUsed/>
    <w:qFormat/>
    <w:rsid w:val="0022568B"/>
    <w:pPr>
      <w:numPr>
        <w:ilvl w:val="4"/>
      </w:numPr>
      <w:outlineLvl w:val="4"/>
    </w:pPr>
    <w:rPr>
      <w:color w:val="00556C" w:themeColor="accent1" w:themeShade="7F"/>
    </w:rPr>
  </w:style>
  <w:style w:type="paragraph" w:styleId="Heading6">
    <w:name w:val="heading 6"/>
    <w:basedOn w:val="Heading5"/>
    <w:next w:val="BodyTextFirst"/>
    <w:link w:val="Heading6Char"/>
    <w:uiPriority w:val="9"/>
    <w:unhideWhenUsed/>
    <w:qFormat/>
    <w:rsid w:val="0022568B"/>
    <w:pPr>
      <w:numPr>
        <w:ilvl w:val="5"/>
      </w:numPr>
      <w:outlineLvl w:val="5"/>
    </w:pPr>
    <w:rPr>
      <w:i/>
      <w:iCs w:val="0"/>
    </w:rPr>
  </w:style>
  <w:style w:type="paragraph" w:styleId="Heading7">
    <w:name w:val="heading 7"/>
    <w:basedOn w:val="Heading1"/>
    <w:next w:val="BodyTextFirst"/>
    <w:link w:val="Heading7Char"/>
    <w:uiPriority w:val="9"/>
    <w:unhideWhenUsed/>
    <w:qFormat/>
    <w:rsid w:val="0022568B"/>
    <w:pPr>
      <w:numPr>
        <w:ilvl w:val="6"/>
      </w:numPr>
      <w:outlineLvl w:val="6"/>
    </w:pPr>
    <w:rPr>
      <w:i/>
      <w:iCs/>
      <w:color w:val="404040" w:themeColor="text1" w:themeTint="BF"/>
    </w:rPr>
  </w:style>
  <w:style w:type="paragraph" w:styleId="Heading8">
    <w:name w:val="heading 8"/>
    <w:basedOn w:val="Heading2"/>
    <w:next w:val="BodyTextFirst"/>
    <w:link w:val="Heading8Char"/>
    <w:uiPriority w:val="9"/>
    <w:unhideWhenUsed/>
    <w:qFormat/>
    <w:rsid w:val="0022568B"/>
    <w:pPr>
      <w:numPr>
        <w:ilvl w:val="7"/>
      </w:numPr>
      <w:outlineLvl w:val="7"/>
    </w:pPr>
    <w:rPr>
      <w:color w:val="404040" w:themeColor="text1" w:themeTint="BF"/>
      <w:szCs w:val="20"/>
    </w:rPr>
  </w:style>
  <w:style w:type="paragraph" w:styleId="Heading9">
    <w:name w:val="heading 9"/>
    <w:basedOn w:val="Heading3"/>
    <w:next w:val="BodyTextFirst"/>
    <w:link w:val="Heading9Char"/>
    <w:uiPriority w:val="9"/>
    <w:unhideWhenUsed/>
    <w:qFormat/>
    <w:rsid w:val="0022568B"/>
    <w:pPr>
      <w:numPr>
        <w:ilvl w:val="8"/>
      </w:numPr>
      <w:outlineLvl w:val="8"/>
    </w:pPr>
    <w:rPr>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qFormat/>
    <w:rsid w:val="00796E69"/>
    <w:pPr>
      <w:spacing w:after="0" w:line="240" w:lineRule="auto"/>
    </w:pPr>
    <w:rPr>
      <w:sz w:val="18"/>
    </w:rPr>
  </w:style>
  <w:style w:type="paragraph" w:styleId="BalloonText">
    <w:name w:val="Balloon Text"/>
    <w:basedOn w:val="Normal"/>
    <w:link w:val="BalloonTextChar"/>
    <w:uiPriority w:val="99"/>
    <w:semiHidden/>
    <w:unhideWhenUsed/>
    <w:rsid w:val="0045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E5A"/>
    <w:rPr>
      <w:rFonts w:ascii="Tahoma" w:hAnsi="Tahoma" w:cs="Tahoma"/>
      <w:sz w:val="16"/>
      <w:szCs w:val="16"/>
    </w:rPr>
  </w:style>
  <w:style w:type="paragraph" w:customStyle="1" w:styleId="BodyTextFirst">
    <w:name w:val="Body Text First"/>
    <w:basedOn w:val="BodyText"/>
    <w:next w:val="BodyText"/>
    <w:rsid w:val="00C45679"/>
    <w:pPr>
      <w:spacing w:before="0"/>
    </w:pPr>
  </w:style>
  <w:style w:type="paragraph" w:styleId="BodyText">
    <w:name w:val="Body Text"/>
    <w:basedOn w:val="Base"/>
    <w:link w:val="BodyTextChar"/>
    <w:uiPriority w:val="99"/>
    <w:qFormat/>
    <w:rsid w:val="00034420"/>
    <w:pPr>
      <w:spacing w:before="200" w:after="200"/>
    </w:pPr>
  </w:style>
  <w:style w:type="character" w:customStyle="1" w:styleId="BodyTextChar">
    <w:name w:val="Body Text Char"/>
    <w:basedOn w:val="DefaultParagraphFont"/>
    <w:link w:val="BodyText"/>
    <w:uiPriority w:val="99"/>
    <w:rsid w:val="00034420"/>
    <w:rPr>
      <w:sz w:val="18"/>
    </w:rPr>
  </w:style>
  <w:style w:type="paragraph" w:customStyle="1" w:styleId="BulletList1">
    <w:name w:val="Bullet List 1"/>
    <w:basedOn w:val="Base"/>
    <w:rsid w:val="009B2F2F"/>
    <w:pPr>
      <w:numPr>
        <w:numId w:val="3"/>
      </w:numPr>
      <w:tabs>
        <w:tab w:val="num" w:pos="340"/>
      </w:tabs>
      <w:spacing w:before="120" w:after="120"/>
    </w:pPr>
  </w:style>
  <w:style w:type="numbering" w:customStyle="1" w:styleId="Bullets">
    <w:name w:val="Bullets"/>
    <w:basedOn w:val="NoList"/>
    <w:uiPriority w:val="99"/>
    <w:rsid w:val="00797CF1"/>
    <w:pPr>
      <w:numPr>
        <w:numId w:val="1"/>
      </w:numPr>
    </w:pPr>
  </w:style>
  <w:style w:type="character" w:styleId="SubtleEmphasis">
    <w:name w:val="Subtle Emphasis"/>
    <w:basedOn w:val="DefaultParagraphFont"/>
    <w:uiPriority w:val="19"/>
    <w:rsid w:val="00171A55"/>
    <w:rPr>
      <w:i/>
      <w:iCs/>
      <w:color w:val="808080" w:themeColor="text1" w:themeTint="7F"/>
    </w:rPr>
  </w:style>
  <w:style w:type="paragraph" w:customStyle="1" w:styleId="BulletList2">
    <w:name w:val="Bullet List 2"/>
    <w:basedOn w:val="BulletList1"/>
    <w:rsid w:val="00C43FEE"/>
    <w:pPr>
      <w:numPr>
        <w:ilvl w:val="1"/>
      </w:numPr>
    </w:pPr>
  </w:style>
  <w:style w:type="paragraph" w:customStyle="1" w:styleId="BulletList3">
    <w:name w:val="Bullet List 3"/>
    <w:basedOn w:val="BulletList2"/>
    <w:rsid w:val="00C43FEE"/>
    <w:pPr>
      <w:numPr>
        <w:ilvl w:val="2"/>
      </w:numPr>
    </w:pPr>
  </w:style>
  <w:style w:type="paragraph" w:customStyle="1" w:styleId="BulletList4">
    <w:name w:val="Bullet List 4"/>
    <w:basedOn w:val="BulletList3"/>
    <w:rsid w:val="00797CF1"/>
    <w:pPr>
      <w:numPr>
        <w:ilvl w:val="3"/>
      </w:numPr>
    </w:pPr>
  </w:style>
  <w:style w:type="paragraph" w:customStyle="1" w:styleId="BulletList5">
    <w:name w:val="Bullet List 5"/>
    <w:basedOn w:val="BulletList4"/>
    <w:rsid w:val="00797CF1"/>
    <w:pPr>
      <w:numPr>
        <w:ilvl w:val="4"/>
      </w:numPr>
    </w:pPr>
  </w:style>
  <w:style w:type="paragraph" w:customStyle="1" w:styleId="BulletList6">
    <w:name w:val="Bullet List 6"/>
    <w:basedOn w:val="BulletList5"/>
    <w:rsid w:val="00797CF1"/>
    <w:pPr>
      <w:numPr>
        <w:ilvl w:val="5"/>
      </w:numPr>
    </w:pPr>
  </w:style>
  <w:style w:type="paragraph" w:customStyle="1" w:styleId="BulletList7">
    <w:name w:val="Bullet List 7"/>
    <w:basedOn w:val="BulletList6"/>
    <w:rsid w:val="00797CF1"/>
    <w:pPr>
      <w:numPr>
        <w:ilvl w:val="6"/>
      </w:numPr>
    </w:pPr>
  </w:style>
  <w:style w:type="paragraph" w:customStyle="1" w:styleId="BulletList8">
    <w:name w:val="Bullet List 8"/>
    <w:basedOn w:val="BulletList7"/>
    <w:rsid w:val="00797CF1"/>
    <w:pPr>
      <w:numPr>
        <w:ilvl w:val="7"/>
      </w:numPr>
      <w:tabs>
        <w:tab w:val="num" w:pos="700"/>
        <w:tab w:val="num" w:pos="3628"/>
      </w:tabs>
    </w:pPr>
  </w:style>
  <w:style w:type="paragraph" w:customStyle="1" w:styleId="BulletList9">
    <w:name w:val="Bullet List 9"/>
    <w:basedOn w:val="BulletList8"/>
    <w:rsid w:val="00797CF1"/>
    <w:pPr>
      <w:numPr>
        <w:ilvl w:val="8"/>
      </w:numPr>
      <w:tabs>
        <w:tab w:val="num" w:pos="812"/>
        <w:tab w:val="num" w:pos="3740"/>
      </w:tabs>
    </w:pPr>
  </w:style>
  <w:style w:type="character" w:customStyle="1" w:styleId="Heading1Char">
    <w:name w:val="Heading 1 Char"/>
    <w:basedOn w:val="DefaultParagraphFont"/>
    <w:link w:val="Heading1"/>
    <w:uiPriority w:val="9"/>
    <w:rsid w:val="00AD1CBB"/>
    <w:rPr>
      <w:rFonts w:asciiTheme="majorHAnsi" w:eastAsiaTheme="majorEastAsia" w:hAnsiTheme="majorHAnsi" w:cstheme="majorBidi"/>
      <w:bCs/>
      <w:color w:val="4F748B"/>
      <w:sz w:val="32"/>
      <w:szCs w:val="28"/>
    </w:rPr>
  </w:style>
  <w:style w:type="paragraph" w:customStyle="1" w:styleId="NumberedList1">
    <w:name w:val="Numbered List 1"/>
    <w:basedOn w:val="Base"/>
    <w:rsid w:val="0022568B"/>
    <w:pPr>
      <w:numPr>
        <w:numId w:val="5"/>
      </w:numPr>
      <w:spacing w:before="120" w:after="120"/>
    </w:pPr>
  </w:style>
  <w:style w:type="paragraph" w:customStyle="1" w:styleId="NumberedList2">
    <w:name w:val="Numbered List 2"/>
    <w:basedOn w:val="NumberedList1"/>
    <w:rsid w:val="0022568B"/>
    <w:pPr>
      <w:numPr>
        <w:ilvl w:val="1"/>
      </w:numPr>
    </w:pPr>
  </w:style>
  <w:style w:type="paragraph" w:customStyle="1" w:styleId="NumberedList3">
    <w:name w:val="Numbered List 3"/>
    <w:basedOn w:val="NumberedList2"/>
    <w:rsid w:val="0022568B"/>
    <w:pPr>
      <w:numPr>
        <w:ilvl w:val="2"/>
      </w:numPr>
    </w:pPr>
  </w:style>
  <w:style w:type="paragraph" w:customStyle="1" w:styleId="NumberedList4">
    <w:name w:val="Numbered List 4"/>
    <w:basedOn w:val="NumberedList3"/>
    <w:rsid w:val="0022568B"/>
    <w:pPr>
      <w:numPr>
        <w:ilvl w:val="3"/>
      </w:numPr>
    </w:pPr>
  </w:style>
  <w:style w:type="paragraph" w:customStyle="1" w:styleId="NumberedList5">
    <w:name w:val="Numbered List 5"/>
    <w:basedOn w:val="NumberedList4"/>
    <w:rsid w:val="0022568B"/>
    <w:pPr>
      <w:numPr>
        <w:ilvl w:val="4"/>
      </w:numPr>
    </w:pPr>
  </w:style>
  <w:style w:type="paragraph" w:customStyle="1" w:styleId="NumberedList6">
    <w:name w:val="Numbered List 6"/>
    <w:basedOn w:val="NumberedList5"/>
    <w:rsid w:val="0022568B"/>
    <w:pPr>
      <w:numPr>
        <w:ilvl w:val="5"/>
      </w:numPr>
    </w:pPr>
  </w:style>
  <w:style w:type="paragraph" w:customStyle="1" w:styleId="NumberedList7">
    <w:name w:val="Numbered List 7"/>
    <w:basedOn w:val="NumberedList6"/>
    <w:rsid w:val="0022568B"/>
    <w:pPr>
      <w:numPr>
        <w:ilvl w:val="6"/>
      </w:numPr>
    </w:pPr>
  </w:style>
  <w:style w:type="paragraph" w:customStyle="1" w:styleId="NumberedList8">
    <w:name w:val="Numbered List 8"/>
    <w:basedOn w:val="NumberedList7"/>
    <w:rsid w:val="0022568B"/>
    <w:pPr>
      <w:numPr>
        <w:ilvl w:val="7"/>
      </w:numPr>
    </w:pPr>
  </w:style>
  <w:style w:type="paragraph" w:customStyle="1" w:styleId="NumberedList9">
    <w:name w:val="Numbered List 9"/>
    <w:basedOn w:val="NumberedList8"/>
    <w:rsid w:val="0022568B"/>
    <w:pPr>
      <w:numPr>
        <w:ilvl w:val="8"/>
      </w:numPr>
    </w:pPr>
  </w:style>
  <w:style w:type="numbering" w:customStyle="1" w:styleId="Numbers">
    <w:name w:val="Numbers"/>
    <w:basedOn w:val="NoList"/>
    <w:uiPriority w:val="99"/>
    <w:rsid w:val="0022568B"/>
    <w:pPr>
      <w:numPr>
        <w:numId w:val="5"/>
      </w:numPr>
    </w:pPr>
  </w:style>
  <w:style w:type="paragraph" w:customStyle="1" w:styleId="Legal1">
    <w:name w:val="Legal 1"/>
    <w:basedOn w:val="Base"/>
    <w:rsid w:val="00833F5F"/>
    <w:pPr>
      <w:numPr>
        <w:numId w:val="2"/>
      </w:numPr>
    </w:pPr>
  </w:style>
  <w:style w:type="paragraph" w:customStyle="1" w:styleId="Legal2">
    <w:name w:val="Legal 2"/>
    <w:basedOn w:val="Base"/>
    <w:rsid w:val="00833F5F"/>
    <w:pPr>
      <w:numPr>
        <w:ilvl w:val="1"/>
        <w:numId w:val="2"/>
      </w:numPr>
    </w:pPr>
  </w:style>
  <w:style w:type="paragraph" w:customStyle="1" w:styleId="Legal3">
    <w:name w:val="Legal 3"/>
    <w:basedOn w:val="Legal2"/>
    <w:rsid w:val="00833F5F"/>
    <w:pPr>
      <w:numPr>
        <w:ilvl w:val="2"/>
      </w:numPr>
    </w:pPr>
  </w:style>
  <w:style w:type="paragraph" w:customStyle="1" w:styleId="Legal4">
    <w:name w:val="Legal 4"/>
    <w:basedOn w:val="Legal3"/>
    <w:rsid w:val="00833F5F"/>
    <w:pPr>
      <w:numPr>
        <w:ilvl w:val="3"/>
      </w:numPr>
    </w:pPr>
  </w:style>
  <w:style w:type="paragraph" w:customStyle="1" w:styleId="Legal5">
    <w:name w:val="Legal 5"/>
    <w:basedOn w:val="Legal4"/>
    <w:rsid w:val="00833F5F"/>
    <w:pPr>
      <w:numPr>
        <w:ilvl w:val="4"/>
      </w:numPr>
    </w:pPr>
  </w:style>
  <w:style w:type="paragraph" w:customStyle="1" w:styleId="Legal6">
    <w:name w:val="Legal 6"/>
    <w:basedOn w:val="Legal5"/>
    <w:rsid w:val="00833F5F"/>
    <w:pPr>
      <w:numPr>
        <w:ilvl w:val="5"/>
      </w:numPr>
    </w:pPr>
  </w:style>
  <w:style w:type="paragraph" w:customStyle="1" w:styleId="Legal7">
    <w:name w:val="Legal 7"/>
    <w:basedOn w:val="Legal6"/>
    <w:rsid w:val="00833F5F"/>
    <w:pPr>
      <w:numPr>
        <w:ilvl w:val="6"/>
      </w:numPr>
    </w:pPr>
  </w:style>
  <w:style w:type="paragraph" w:customStyle="1" w:styleId="Legal8">
    <w:name w:val="Legal 8"/>
    <w:basedOn w:val="Legal7"/>
    <w:rsid w:val="00833F5F"/>
    <w:pPr>
      <w:numPr>
        <w:ilvl w:val="7"/>
      </w:numPr>
    </w:pPr>
  </w:style>
  <w:style w:type="paragraph" w:customStyle="1" w:styleId="Legal9">
    <w:name w:val="Legal 9"/>
    <w:basedOn w:val="Legal8"/>
    <w:rsid w:val="00833F5F"/>
    <w:pPr>
      <w:numPr>
        <w:ilvl w:val="8"/>
      </w:numPr>
    </w:pPr>
  </w:style>
  <w:style w:type="numbering" w:customStyle="1" w:styleId="Legal">
    <w:name w:val="Legal"/>
    <w:basedOn w:val="NoList"/>
    <w:uiPriority w:val="99"/>
    <w:rsid w:val="00833F5F"/>
    <w:pPr>
      <w:numPr>
        <w:numId w:val="2"/>
      </w:numPr>
    </w:pPr>
  </w:style>
  <w:style w:type="table" w:styleId="TableGrid">
    <w:name w:val="Table Grid"/>
    <w:basedOn w:val="TableNormal"/>
    <w:uiPriority w:val="59"/>
    <w:rsid w:val="00F3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1CBB"/>
    <w:rPr>
      <w:rFonts w:asciiTheme="majorHAnsi" w:eastAsiaTheme="majorEastAsia" w:hAnsiTheme="majorHAnsi" w:cstheme="majorBidi"/>
      <w:b/>
      <w:sz w:val="20"/>
      <w:szCs w:val="26"/>
    </w:rPr>
  </w:style>
  <w:style w:type="character" w:customStyle="1" w:styleId="Heading3Char">
    <w:name w:val="Heading 3 Char"/>
    <w:basedOn w:val="DefaultParagraphFont"/>
    <w:link w:val="Heading3"/>
    <w:uiPriority w:val="9"/>
    <w:rsid w:val="00AD1CBB"/>
    <w:rPr>
      <w:rFonts w:asciiTheme="majorHAnsi" w:eastAsiaTheme="majorEastAsia" w:hAnsiTheme="majorHAnsi" w:cstheme="majorBidi"/>
      <w:bCs/>
      <w:color w:val="4F748B"/>
      <w:sz w:val="20"/>
      <w:szCs w:val="26"/>
    </w:rPr>
  </w:style>
  <w:style w:type="character" w:customStyle="1" w:styleId="Heading4Char">
    <w:name w:val="Heading 4 Char"/>
    <w:basedOn w:val="DefaultParagraphFont"/>
    <w:link w:val="Heading4"/>
    <w:uiPriority w:val="9"/>
    <w:rsid w:val="00AD1CBB"/>
    <w:rPr>
      <w:rFonts w:asciiTheme="majorHAnsi" w:eastAsiaTheme="majorEastAsia" w:hAnsiTheme="majorHAnsi" w:cstheme="majorBidi"/>
      <w:b/>
      <w:iCs/>
      <w:color w:val="4F748B"/>
      <w:sz w:val="18"/>
      <w:szCs w:val="26"/>
    </w:rPr>
  </w:style>
  <w:style w:type="character" w:customStyle="1" w:styleId="Heading5Char">
    <w:name w:val="Heading 5 Char"/>
    <w:basedOn w:val="DefaultParagraphFont"/>
    <w:link w:val="Heading5"/>
    <w:uiPriority w:val="9"/>
    <w:rsid w:val="0022568B"/>
    <w:rPr>
      <w:rFonts w:asciiTheme="majorHAnsi" w:eastAsiaTheme="majorEastAsia" w:hAnsiTheme="majorHAnsi" w:cstheme="majorBidi"/>
      <w:b/>
      <w:iCs/>
      <w:color w:val="00556C" w:themeColor="accent1" w:themeShade="7F"/>
      <w:sz w:val="18"/>
      <w:szCs w:val="26"/>
    </w:rPr>
  </w:style>
  <w:style w:type="character" w:customStyle="1" w:styleId="Heading6Char">
    <w:name w:val="Heading 6 Char"/>
    <w:basedOn w:val="DefaultParagraphFont"/>
    <w:link w:val="Heading6"/>
    <w:uiPriority w:val="9"/>
    <w:rsid w:val="0022568B"/>
    <w:rPr>
      <w:rFonts w:asciiTheme="majorHAnsi" w:eastAsiaTheme="majorEastAsia" w:hAnsiTheme="majorHAnsi" w:cstheme="majorBidi"/>
      <w:b/>
      <w:i/>
      <w:color w:val="00556C" w:themeColor="accent1" w:themeShade="7F"/>
      <w:sz w:val="18"/>
      <w:szCs w:val="26"/>
    </w:rPr>
  </w:style>
  <w:style w:type="character" w:customStyle="1" w:styleId="Heading7Char">
    <w:name w:val="Heading 7 Char"/>
    <w:basedOn w:val="DefaultParagraphFont"/>
    <w:link w:val="Heading7"/>
    <w:uiPriority w:val="9"/>
    <w:rsid w:val="0022568B"/>
    <w:rPr>
      <w:rFonts w:asciiTheme="majorHAnsi" w:eastAsiaTheme="majorEastAsia" w:hAnsiTheme="majorHAnsi" w:cstheme="majorBidi"/>
      <w:bCs/>
      <w:i/>
      <w:iCs/>
      <w:color w:val="404040" w:themeColor="text1" w:themeTint="BF"/>
      <w:sz w:val="32"/>
      <w:szCs w:val="28"/>
    </w:rPr>
  </w:style>
  <w:style w:type="character" w:customStyle="1" w:styleId="Heading8Char">
    <w:name w:val="Heading 8 Char"/>
    <w:basedOn w:val="DefaultParagraphFont"/>
    <w:link w:val="Heading8"/>
    <w:uiPriority w:val="9"/>
    <w:rsid w:val="0022568B"/>
    <w:rPr>
      <w:rFonts w:asciiTheme="majorHAnsi" w:eastAsiaTheme="majorEastAsia" w:hAnsiTheme="majorHAnsi" w:cstheme="majorBidi"/>
      <w:b/>
      <w:color w:val="404040" w:themeColor="text1" w:themeTint="BF"/>
      <w:sz w:val="20"/>
      <w:szCs w:val="20"/>
    </w:rPr>
  </w:style>
  <w:style w:type="character" w:customStyle="1" w:styleId="Heading9Char">
    <w:name w:val="Heading 9 Char"/>
    <w:basedOn w:val="DefaultParagraphFont"/>
    <w:link w:val="Heading9"/>
    <w:uiPriority w:val="9"/>
    <w:rsid w:val="0022568B"/>
    <w:rPr>
      <w:rFonts w:asciiTheme="majorHAnsi" w:eastAsiaTheme="majorEastAsia" w:hAnsiTheme="majorHAnsi" w:cstheme="majorBidi"/>
      <w:bCs/>
      <w:i/>
      <w:iCs/>
      <w:color w:val="404040" w:themeColor="text1" w:themeTint="BF"/>
      <w:sz w:val="20"/>
      <w:szCs w:val="20"/>
    </w:rPr>
  </w:style>
  <w:style w:type="numbering" w:customStyle="1" w:styleId="Headings">
    <w:name w:val="Headings"/>
    <w:basedOn w:val="NoList"/>
    <w:uiPriority w:val="99"/>
    <w:rsid w:val="0022568B"/>
    <w:pPr>
      <w:numPr>
        <w:numId w:val="4"/>
      </w:numPr>
    </w:pPr>
  </w:style>
  <w:style w:type="paragraph" w:styleId="Header">
    <w:name w:val="header"/>
    <w:basedOn w:val="Base"/>
    <w:link w:val="HeaderChar"/>
    <w:uiPriority w:val="99"/>
    <w:unhideWhenUsed/>
    <w:rsid w:val="004D270A"/>
    <w:pPr>
      <w:jc w:val="right"/>
    </w:pPr>
    <w:rPr>
      <w:color w:val="7F7F7F"/>
      <w:sz w:val="14"/>
    </w:rPr>
  </w:style>
  <w:style w:type="character" w:customStyle="1" w:styleId="HeaderChar">
    <w:name w:val="Header Char"/>
    <w:basedOn w:val="DefaultParagraphFont"/>
    <w:link w:val="Header"/>
    <w:uiPriority w:val="99"/>
    <w:rsid w:val="004D270A"/>
    <w:rPr>
      <w:color w:val="7F7F7F"/>
      <w:sz w:val="14"/>
    </w:rPr>
  </w:style>
  <w:style w:type="paragraph" w:styleId="Footer">
    <w:name w:val="footer"/>
    <w:basedOn w:val="Normal"/>
    <w:link w:val="FooterChar"/>
    <w:uiPriority w:val="99"/>
    <w:unhideWhenUsed/>
    <w:rsid w:val="00FA25ED"/>
    <w:pPr>
      <w:tabs>
        <w:tab w:val="center" w:pos="4536"/>
        <w:tab w:val="right" w:pos="9072"/>
      </w:tabs>
      <w:spacing w:after="0" w:line="240" w:lineRule="auto"/>
    </w:pPr>
    <w:rPr>
      <w:b/>
      <w:color w:val="77777B"/>
      <w:sz w:val="16"/>
    </w:rPr>
  </w:style>
  <w:style w:type="character" w:customStyle="1" w:styleId="FooterChar">
    <w:name w:val="Footer Char"/>
    <w:basedOn w:val="DefaultParagraphFont"/>
    <w:link w:val="Footer"/>
    <w:uiPriority w:val="99"/>
    <w:rsid w:val="00FA25ED"/>
    <w:rPr>
      <w:b/>
      <w:color w:val="77777B"/>
      <w:sz w:val="16"/>
    </w:rPr>
  </w:style>
  <w:style w:type="numbering" w:customStyle="1" w:styleId="BulletList">
    <w:name w:val="Bullet List"/>
    <w:basedOn w:val="NoList"/>
    <w:uiPriority w:val="99"/>
    <w:rsid w:val="009B2F2F"/>
    <w:pPr>
      <w:numPr>
        <w:numId w:val="3"/>
      </w:numPr>
    </w:pPr>
  </w:style>
  <w:style w:type="paragraph" w:styleId="TOC1">
    <w:name w:val="toc 1"/>
    <w:basedOn w:val="Base"/>
    <w:next w:val="BodyText"/>
    <w:uiPriority w:val="39"/>
    <w:unhideWhenUsed/>
    <w:rsid w:val="00A46755"/>
    <w:pPr>
      <w:tabs>
        <w:tab w:val="right" w:pos="8335"/>
      </w:tabs>
      <w:spacing w:before="240"/>
      <w:ind w:left="340" w:right="567" w:hanging="340"/>
    </w:pPr>
    <w:rPr>
      <w:b/>
      <w:sz w:val="20"/>
    </w:rPr>
  </w:style>
  <w:style w:type="paragraph" w:styleId="Title">
    <w:name w:val="Title"/>
    <w:basedOn w:val="Base"/>
    <w:link w:val="TitleChar"/>
    <w:uiPriority w:val="10"/>
    <w:qFormat/>
    <w:rsid w:val="004612FD"/>
    <w:pPr>
      <w:contextualSpacing/>
    </w:pPr>
    <w:rPr>
      <w:rFonts w:asciiTheme="majorHAnsi" w:eastAsiaTheme="majorEastAsia" w:hAnsiTheme="majorHAnsi" w:cstheme="majorBidi"/>
      <w:color w:val="4F748B" w:themeColor="background2"/>
      <w:spacing w:val="5"/>
      <w:kern w:val="28"/>
      <w:sz w:val="32"/>
      <w:szCs w:val="52"/>
    </w:rPr>
  </w:style>
  <w:style w:type="character" w:customStyle="1" w:styleId="TitleChar">
    <w:name w:val="Title Char"/>
    <w:basedOn w:val="DefaultParagraphFont"/>
    <w:link w:val="Title"/>
    <w:uiPriority w:val="10"/>
    <w:rsid w:val="004612FD"/>
    <w:rPr>
      <w:rFonts w:asciiTheme="majorHAnsi" w:eastAsiaTheme="majorEastAsia" w:hAnsiTheme="majorHAnsi" w:cstheme="majorBidi"/>
      <w:color w:val="4F748B" w:themeColor="background2"/>
      <w:spacing w:val="5"/>
      <w:kern w:val="28"/>
      <w:sz w:val="32"/>
      <w:szCs w:val="52"/>
    </w:rPr>
  </w:style>
  <w:style w:type="paragraph" w:customStyle="1" w:styleId="ToCTitle">
    <w:name w:val="ToC Title"/>
    <w:basedOn w:val="Heading1"/>
    <w:link w:val="ToCTitleChar"/>
    <w:rsid w:val="00473535"/>
  </w:style>
  <w:style w:type="character" w:customStyle="1" w:styleId="ToCTitleChar">
    <w:name w:val="ToC Title Char"/>
    <w:basedOn w:val="Heading1Char"/>
    <w:link w:val="ToCTitle"/>
    <w:rsid w:val="00473535"/>
    <w:rPr>
      <w:rFonts w:asciiTheme="majorHAnsi" w:eastAsiaTheme="majorEastAsia" w:hAnsiTheme="majorHAnsi" w:cstheme="majorBidi"/>
      <w:bCs/>
      <w:color w:val="4F748B"/>
      <w:sz w:val="32"/>
      <w:szCs w:val="28"/>
    </w:rPr>
  </w:style>
  <w:style w:type="paragraph" w:styleId="TOC2">
    <w:name w:val="toc 2"/>
    <w:basedOn w:val="Base"/>
    <w:next w:val="BodyText"/>
    <w:uiPriority w:val="39"/>
    <w:unhideWhenUsed/>
    <w:rsid w:val="00A46755"/>
    <w:pPr>
      <w:tabs>
        <w:tab w:val="right" w:pos="8335"/>
      </w:tabs>
      <w:ind w:left="850" w:right="567" w:hanging="510"/>
    </w:pPr>
  </w:style>
  <w:style w:type="character" w:styleId="Hyperlink">
    <w:name w:val="Hyperlink"/>
    <w:basedOn w:val="DefaultParagraphFont"/>
    <w:uiPriority w:val="99"/>
    <w:unhideWhenUsed/>
    <w:rsid w:val="00473535"/>
    <w:rPr>
      <w:color w:val="4F748B" w:themeColor="hyperlink"/>
      <w:u w:val="single"/>
    </w:rPr>
  </w:style>
  <w:style w:type="paragraph" w:styleId="TOC3">
    <w:name w:val="toc 3"/>
    <w:basedOn w:val="Normal"/>
    <w:next w:val="Normal"/>
    <w:autoRedefine/>
    <w:uiPriority w:val="39"/>
    <w:unhideWhenUsed/>
    <w:rsid w:val="00473535"/>
    <w:pPr>
      <w:spacing w:after="100"/>
      <w:ind w:left="440"/>
    </w:pPr>
  </w:style>
  <w:style w:type="paragraph" w:styleId="TOC7">
    <w:name w:val="toc 7"/>
    <w:basedOn w:val="Normal"/>
    <w:next w:val="Normal"/>
    <w:autoRedefine/>
    <w:uiPriority w:val="39"/>
    <w:unhideWhenUsed/>
    <w:rsid w:val="00473535"/>
    <w:pPr>
      <w:spacing w:after="100"/>
      <w:ind w:left="1320"/>
    </w:pPr>
  </w:style>
  <w:style w:type="paragraph" w:styleId="TOC8">
    <w:name w:val="toc 8"/>
    <w:basedOn w:val="Normal"/>
    <w:next w:val="Normal"/>
    <w:autoRedefine/>
    <w:uiPriority w:val="39"/>
    <w:unhideWhenUsed/>
    <w:rsid w:val="00473535"/>
    <w:pPr>
      <w:spacing w:after="100"/>
      <w:ind w:left="1540"/>
    </w:pPr>
  </w:style>
  <w:style w:type="paragraph" w:styleId="TOC9">
    <w:name w:val="toc 9"/>
    <w:basedOn w:val="Normal"/>
    <w:next w:val="Normal"/>
    <w:autoRedefine/>
    <w:uiPriority w:val="39"/>
    <w:unhideWhenUsed/>
    <w:rsid w:val="00473535"/>
    <w:pPr>
      <w:spacing w:after="100"/>
      <w:ind w:left="1760"/>
    </w:pPr>
  </w:style>
  <w:style w:type="character" w:styleId="PageNumber">
    <w:name w:val="page number"/>
    <w:uiPriority w:val="99"/>
    <w:unhideWhenUsed/>
    <w:rsid w:val="00A46755"/>
  </w:style>
  <w:style w:type="table" w:customStyle="1" w:styleId="TextTable">
    <w:name w:val="Text Table"/>
    <w:basedOn w:val="TableNormal"/>
    <w:uiPriority w:val="99"/>
    <w:rsid w:val="008F4354"/>
    <w:pPr>
      <w:spacing w:after="0" w:line="240" w:lineRule="auto"/>
    </w:pPr>
    <w:rPr>
      <w:sz w:val="18"/>
    </w:rPr>
    <w:tblPr>
      <w:tblStyleRowBandSize w:val="1"/>
      <w:tblBorders>
        <w:bottom w:val="single" w:sz="4" w:space="0" w:color="000000" w:themeColor="text1"/>
        <w:insideH w:val="dashed" w:sz="4" w:space="0" w:color="000000" w:themeColor="text1"/>
      </w:tblBorders>
      <w:tblCellMar>
        <w:top w:w="57" w:type="dxa"/>
        <w:left w:w="0" w:type="dxa"/>
        <w:bottom w:w="57" w:type="dxa"/>
      </w:tblCellMar>
    </w:tblPr>
    <w:trPr>
      <w:cantSplit/>
    </w:trPr>
    <w:tblStylePr w:type="firstRow">
      <w:pPr>
        <w:keepNext/>
        <w:keepLines/>
        <w:wordWrap/>
      </w:pPr>
      <w:rPr>
        <w:color w:val="4F748B" w:themeColor="background2"/>
      </w:rPr>
      <w:tblPr/>
      <w:tcPr>
        <w:tcBorders>
          <w:top w:val="single" w:sz="8" w:space="0" w:color="4F748B" w:themeColor="background2"/>
          <w:left w:val="nil"/>
          <w:bottom w:val="single" w:sz="8" w:space="0" w:color="4F748B" w:themeColor="background2"/>
          <w:right w:val="nil"/>
          <w:insideH w:val="nil"/>
          <w:insideV w:val="nil"/>
          <w:tl2br w:val="nil"/>
          <w:tr2bl w:val="nil"/>
        </w:tcBorders>
      </w:tcPr>
    </w:tblStylePr>
    <w:tblStylePr w:type="lastRow">
      <w:tblPr/>
      <w:tcPr>
        <w:tcBorders>
          <w:top w:val="single" w:sz="8" w:space="0" w:color="4F748B" w:themeColor="background2"/>
          <w:left w:val="nil"/>
          <w:bottom w:val="single" w:sz="8" w:space="0" w:color="4F748B" w:themeColor="background2"/>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dashSmallGap" w:sz="4" w:space="0" w:color="4F748B" w:themeColor="background2"/>
          <w:right w:val="nil"/>
          <w:insideH w:val="nil"/>
          <w:insideV w:val="nil"/>
          <w:tl2br w:val="nil"/>
          <w:tr2bl w:val="nil"/>
        </w:tcBorders>
      </w:tcPr>
    </w:tblStylePr>
    <w:tblStylePr w:type="band2Horz">
      <w:tblPr/>
      <w:tcPr>
        <w:tcBorders>
          <w:top w:val="nil"/>
          <w:left w:val="nil"/>
          <w:bottom w:val="dashSmallGap" w:sz="4" w:space="0" w:color="4F748B" w:themeColor="background2"/>
          <w:right w:val="nil"/>
          <w:insideH w:val="nil"/>
          <w:insideV w:val="nil"/>
          <w:tl2br w:val="nil"/>
          <w:tr2bl w:val="nil"/>
        </w:tcBorders>
      </w:tcPr>
    </w:tblStylePr>
  </w:style>
  <w:style w:type="paragraph" w:customStyle="1" w:styleId="Disclaimer">
    <w:name w:val="Disclaimer"/>
    <w:basedOn w:val="Base"/>
    <w:link w:val="DisclaimerChar"/>
    <w:rsid w:val="00DF7357"/>
    <w:rPr>
      <w:sz w:val="12"/>
    </w:rPr>
  </w:style>
  <w:style w:type="character" w:customStyle="1" w:styleId="DisclaimerChar">
    <w:name w:val="Disclaimer Char"/>
    <w:basedOn w:val="FooterChar"/>
    <w:link w:val="Disclaimer"/>
    <w:rsid w:val="00DF7357"/>
    <w:rPr>
      <w:b w:val="0"/>
      <w:color w:val="77777B"/>
      <w:sz w:val="12"/>
    </w:rPr>
  </w:style>
  <w:style w:type="paragraph" w:styleId="Caption">
    <w:name w:val="caption"/>
    <w:basedOn w:val="Normal"/>
    <w:next w:val="Normal"/>
    <w:uiPriority w:val="35"/>
    <w:unhideWhenUsed/>
    <w:qFormat/>
    <w:rsid w:val="00F3584B"/>
    <w:pPr>
      <w:keepNext/>
      <w:keepLines/>
      <w:spacing w:before="240" w:after="0" w:line="240" w:lineRule="auto"/>
    </w:pPr>
    <w:rPr>
      <w:bCs/>
      <w:color w:val="4F748B" w:themeColor="background2"/>
      <w:sz w:val="20"/>
      <w:szCs w:val="18"/>
    </w:rPr>
  </w:style>
  <w:style w:type="table" w:styleId="LightShading-Accent6">
    <w:name w:val="Light Shading Accent 6"/>
    <w:basedOn w:val="TableNormal"/>
    <w:uiPriority w:val="60"/>
    <w:rsid w:val="00F3584B"/>
    <w:pPr>
      <w:spacing w:after="0" w:line="240" w:lineRule="auto"/>
    </w:pPr>
    <w:rPr>
      <w:color w:val="0048E2" w:themeColor="accent6" w:themeShade="BF"/>
    </w:rPr>
    <w:tblPr>
      <w:tblStyleRowBandSize w:val="1"/>
      <w:tblStyleColBandSize w:val="1"/>
      <w:tblBorders>
        <w:top w:val="single" w:sz="8" w:space="0" w:color="3073FF" w:themeColor="accent6"/>
        <w:bottom w:val="single" w:sz="8" w:space="0" w:color="3073FF" w:themeColor="accent6"/>
      </w:tblBorders>
    </w:tblPr>
    <w:tblStylePr w:type="firstRow">
      <w:pPr>
        <w:spacing w:before="0" w:after="0" w:line="240" w:lineRule="auto"/>
      </w:pPr>
      <w:rPr>
        <w:b/>
        <w:bCs/>
      </w:rPr>
      <w:tblPr/>
      <w:tcPr>
        <w:tcBorders>
          <w:top w:val="single" w:sz="8" w:space="0" w:color="3073FF" w:themeColor="accent6"/>
          <w:left w:val="nil"/>
          <w:bottom w:val="single" w:sz="8" w:space="0" w:color="3073FF" w:themeColor="accent6"/>
          <w:right w:val="nil"/>
          <w:insideH w:val="nil"/>
          <w:insideV w:val="nil"/>
        </w:tcBorders>
      </w:tcPr>
    </w:tblStylePr>
    <w:tblStylePr w:type="lastRow">
      <w:pPr>
        <w:spacing w:before="0" w:after="0" w:line="240" w:lineRule="auto"/>
      </w:pPr>
      <w:rPr>
        <w:b/>
        <w:bCs/>
      </w:rPr>
      <w:tblPr/>
      <w:tcPr>
        <w:tcBorders>
          <w:top w:val="single" w:sz="8" w:space="0" w:color="3073FF" w:themeColor="accent6"/>
          <w:left w:val="nil"/>
          <w:bottom w:val="single" w:sz="8" w:space="0" w:color="3073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CFF" w:themeFill="accent6" w:themeFillTint="3F"/>
      </w:tcPr>
    </w:tblStylePr>
    <w:tblStylePr w:type="band1Horz">
      <w:tblPr/>
      <w:tcPr>
        <w:tcBorders>
          <w:left w:val="nil"/>
          <w:right w:val="nil"/>
          <w:insideH w:val="nil"/>
          <w:insideV w:val="nil"/>
        </w:tcBorders>
        <w:shd w:val="clear" w:color="auto" w:fill="CBDCFF" w:themeFill="accent6" w:themeFillTint="3F"/>
      </w:tcPr>
    </w:tblStylePr>
  </w:style>
  <w:style w:type="table" w:customStyle="1" w:styleId="DataTable">
    <w:name w:val="Data Table"/>
    <w:basedOn w:val="TableNormal"/>
    <w:uiPriority w:val="99"/>
    <w:rsid w:val="00491A38"/>
    <w:pPr>
      <w:spacing w:after="0" w:line="240" w:lineRule="auto"/>
      <w:jc w:val="right"/>
    </w:pPr>
    <w:rPr>
      <w:sz w:val="18"/>
    </w:rPr>
    <w:tblPr>
      <w:tblBorders>
        <w:bottom w:val="single" w:sz="4" w:space="0" w:color="4F748B"/>
      </w:tblBorders>
      <w:tblCellMar>
        <w:top w:w="57" w:type="dxa"/>
        <w:left w:w="0" w:type="dxa"/>
        <w:bottom w:w="57" w:type="dxa"/>
      </w:tblCellMar>
    </w:tblPr>
    <w:trPr>
      <w:cantSplit/>
    </w:trPr>
    <w:tblStylePr w:type="firstRow">
      <w:pPr>
        <w:keepNext/>
        <w:keepLines/>
        <w:wordWrap/>
      </w:pPr>
      <w:rPr>
        <w:color w:val="4F748B"/>
      </w:rPr>
      <w:tblPr/>
      <w:tcPr>
        <w:tcBorders>
          <w:top w:val="single" w:sz="4" w:space="0" w:color="4F748B"/>
          <w:left w:val="nil"/>
          <w:bottom w:val="single" w:sz="4" w:space="0" w:color="4F748B"/>
          <w:right w:val="nil"/>
          <w:insideH w:val="nil"/>
          <w:insideV w:val="nil"/>
          <w:tl2br w:val="nil"/>
          <w:tr2bl w:val="nil"/>
        </w:tcBorders>
      </w:tcPr>
    </w:tblStylePr>
    <w:tblStylePr w:type="lastRow">
      <w:tblPr/>
      <w:tcPr>
        <w:tcBorders>
          <w:top w:val="single" w:sz="4" w:space="0" w:color="4F748B"/>
          <w:left w:val="nil"/>
          <w:bottom w:val="single" w:sz="4" w:space="0" w:color="4F748B"/>
          <w:right w:val="nil"/>
          <w:insideH w:val="nil"/>
          <w:insideV w:val="nil"/>
          <w:tl2br w:val="nil"/>
          <w:tr2bl w:val="nil"/>
        </w:tcBorders>
      </w:tcPr>
    </w:tblStylePr>
    <w:tblStylePr w:type="firstCol">
      <w:pPr>
        <w:jc w:val="left"/>
      </w:pPr>
      <w:rPr>
        <w:color w:val="4F748B"/>
        <w:sz w:val="16"/>
      </w:rPr>
    </w:tblStylePr>
  </w:style>
  <w:style w:type="paragraph" w:customStyle="1" w:styleId="Source">
    <w:name w:val="Source"/>
    <w:basedOn w:val="BodyText"/>
    <w:link w:val="SourceChar"/>
    <w:rsid w:val="00B1059E"/>
    <w:pPr>
      <w:spacing w:before="0"/>
    </w:pPr>
    <w:rPr>
      <w:sz w:val="14"/>
    </w:rPr>
  </w:style>
  <w:style w:type="character" w:customStyle="1" w:styleId="SourceChar">
    <w:name w:val="Source Char"/>
    <w:basedOn w:val="BodyTextChar"/>
    <w:link w:val="Source"/>
    <w:rsid w:val="00B1059E"/>
    <w:rPr>
      <w:sz w:val="14"/>
    </w:rPr>
  </w:style>
  <w:style w:type="paragraph" w:styleId="NoSpacing">
    <w:name w:val="No Spacing"/>
    <w:uiPriority w:val="1"/>
    <w:rsid w:val="004612FD"/>
    <w:pPr>
      <w:spacing w:after="0" w:line="240" w:lineRule="auto"/>
    </w:pPr>
  </w:style>
  <w:style w:type="paragraph" w:customStyle="1" w:styleId="Subject">
    <w:name w:val="Subject"/>
    <w:basedOn w:val="BodyText"/>
    <w:next w:val="BodyText"/>
    <w:link w:val="SubjectChar"/>
    <w:rsid w:val="00B22599"/>
    <w:rPr>
      <w:b/>
    </w:rPr>
  </w:style>
  <w:style w:type="character" w:customStyle="1" w:styleId="SubjectChar">
    <w:name w:val="Subject Char"/>
    <w:basedOn w:val="BodyTextChar"/>
    <w:link w:val="Subject"/>
    <w:rsid w:val="00B22599"/>
    <w:rPr>
      <w:b/>
      <w:sz w:val="18"/>
    </w:rPr>
  </w:style>
  <w:style w:type="paragraph" w:customStyle="1" w:styleId="Heading">
    <w:name w:val="Heading"/>
    <w:basedOn w:val="BodyText"/>
    <w:next w:val="Normal"/>
    <w:link w:val="HeadingChar"/>
    <w:rsid w:val="00702668"/>
    <w:pPr>
      <w:keepNext/>
      <w:keepLines/>
      <w:spacing w:after="0"/>
    </w:pPr>
    <w:rPr>
      <w:b/>
      <w:sz w:val="20"/>
    </w:rPr>
  </w:style>
  <w:style w:type="character" w:customStyle="1" w:styleId="HeadingChar">
    <w:name w:val="Heading Char"/>
    <w:basedOn w:val="BodyTextChar"/>
    <w:link w:val="Heading"/>
    <w:rsid w:val="00702668"/>
    <w:rPr>
      <w:b/>
      <w:sz w:val="20"/>
    </w:rPr>
  </w:style>
  <w:style w:type="character" w:styleId="EndnoteReference">
    <w:name w:val="endnote reference"/>
    <w:basedOn w:val="DefaultParagraphFont"/>
    <w:uiPriority w:val="99"/>
    <w:semiHidden/>
    <w:unhideWhenUsed/>
    <w:rsid w:val="000751D7"/>
    <w:rPr>
      <w:rFonts w:ascii="Calibri" w:hAnsi="Calibri"/>
      <w:vertAlign w:val="superscript"/>
    </w:rPr>
  </w:style>
  <w:style w:type="character" w:styleId="FootnoteReference">
    <w:name w:val="footnote reference"/>
    <w:basedOn w:val="DefaultParagraphFont"/>
    <w:uiPriority w:val="99"/>
    <w:semiHidden/>
    <w:unhideWhenUsed/>
    <w:rsid w:val="000751D7"/>
    <w:rPr>
      <w:rFonts w:ascii="Calibri" w:hAnsi="Calibri"/>
      <w:vertAlign w:val="superscript"/>
    </w:rPr>
  </w:style>
  <w:style w:type="character" w:customStyle="1" w:styleId="Subscript">
    <w:name w:val="Subscript"/>
    <w:basedOn w:val="DefaultParagraphFont"/>
    <w:uiPriority w:val="1"/>
    <w:rsid w:val="000751D7"/>
    <w:rPr>
      <w:rFonts w:ascii="Calibri" w:hAnsi="Calibri"/>
      <w:vertAlign w:val="subscript"/>
    </w:rPr>
  </w:style>
  <w:style w:type="character" w:customStyle="1" w:styleId="Superscript">
    <w:name w:val="Superscript"/>
    <w:basedOn w:val="DefaultParagraphFont"/>
    <w:uiPriority w:val="1"/>
    <w:rsid w:val="000751D7"/>
    <w:rPr>
      <w:rFonts w:ascii="Calibri" w:hAnsi="Calibri"/>
      <w:vertAlign w:val="superscript"/>
    </w:rPr>
  </w:style>
  <w:style w:type="paragraph" w:customStyle="1" w:styleId="Heading1unnumbered">
    <w:name w:val="Heading 1 unnumbered"/>
    <w:basedOn w:val="Heading1"/>
    <w:next w:val="BodyText"/>
    <w:link w:val="Heading1unnumberedChar"/>
    <w:rsid w:val="00AD1CBB"/>
    <w:pPr>
      <w:numPr>
        <w:numId w:val="0"/>
      </w:numPr>
    </w:pPr>
  </w:style>
  <w:style w:type="character" w:customStyle="1" w:styleId="Heading1unnumberedChar">
    <w:name w:val="Heading 1 unnumbered Char"/>
    <w:basedOn w:val="Heading1Char"/>
    <w:link w:val="Heading1unnumbered"/>
    <w:rsid w:val="00AD1CBB"/>
    <w:rPr>
      <w:rFonts w:asciiTheme="majorHAnsi" w:eastAsiaTheme="majorEastAsia" w:hAnsiTheme="majorHAnsi" w:cstheme="majorBidi"/>
      <w:bCs/>
      <w:color w:val="4F748B"/>
      <w:sz w:val="32"/>
      <w:szCs w:val="28"/>
    </w:rPr>
  </w:style>
  <w:style w:type="paragraph" w:customStyle="1" w:styleId="Heading2unnumbered">
    <w:name w:val="Heading 2 unnumbered"/>
    <w:basedOn w:val="Heading2"/>
    <w:next w:val="BodyTextFirst"/>
    <w:link w:val="Heading2unnumberedChar"/>
    <w:rsid w:val="0022568B"/>
    <w:pPr>
      <w:numPr>
        <w:ilvl w:val="0"/>
        <w:numId w:val="0"/>
      </w:numPr>
    </w:pPr>
  </w:style>
  <w:style w:type="character" w:customStyle="1" w:styleId="Heading2unnumberedChar">
    <w:name w:val="Heading 2 unnumbered Char"/>
    <w:basedOn w:val="Heading2Char"/>
    <w:link w:val="Heading2unnumbered"/>
    <w:rsid w:val="0022568B"/>
    <w:rPr>
      <w:rFonts w:asciiTheme="majorHAnsi" w:eastAsiaTheme="majorEastAsia" w:hAnsiTheme="majorHAnsi" w:cstheme="majorBidi"/>
      <w:b/>
      <w:sz w:val="20"/>
      <w:szCs w:val="26"/>
    </w:rPr>
  </w:style>
  <w:style w:type="paragraph" w:customStyle="1" w:styleId="Heading3unnumbered">
    <w:name w:val="Heading 3 unnumbered"/>
    <w:basedOn w:val="Heading3"/>
    <w:next w:val="BodyTextFirst"/>
    <w:link w:val="Heading3unnumberedChar"/>
    <w:rsid w:val="0022568B"/>
    <w:pPr>
      <w:numPr>
        <w:ilvl w:val="0"/>
        <w:numId w:val="0"/>
      </w:numPr>
    </w:pPr>
  </w:style>
  <w:style w:type="character" w:customStyle="1" w:styleId="Heading3unnumberedChar">
    <w:name w:val="Heading 3 unnumbered Char"/>
    <w:basedOn w:val="Heading3Char"/>
    <w:link w:val="Heading3unnumbered"/>
    <w:rsid w:val="0022568B"/>
    <w:rPr>
      <w:rFonts w:asciiTheme="majorHAnsi" w:eastAsiaTheme="majorEastAsia" w:hAnsiTheme="majorHAnsi" w:cstheme="majorBidi"/>
      <w:bCs/>
      <w:color w:val="4F748B" w:themeColor="background2"/>
      <w:sz w:val="20"/>
      <w:szCs w:val="26"/>
    </w:rPr>
  </w:style>
  <w:style w:type="paragraph" w:customStyle="1" w:styleId="Heading4unnumbered">
    <w:name w:val="Heading 4 unnumbered"/>
    <w:basedOn w:val="Heading4"/>
    <w:next w:val="BodyTextFirst"/>
    <w:link w:val="Heading4unnumberedChar"/>
    <w:rsid w:val="0022568B"/>
    <w:pPr>
      <w:numPr>
        <w:ilvl w:val="0"/>
        <w:numId w:val="0"/>
      </w:numPr>
    </w:pPr>
  </w:style>
  <w:style w:type="character" w:customStyle="1" w:styleId="Heading4unnumberedChar">
    <w:name w:val="Heading 4 unnumbered Char"/>
    <w:basedOn w:val="Heading4Char"/>
    <w:link w:val="Heading4unnumbered"/>
    <w:rsid w:val="0022568B"/>
    <w:rPr>
      <w:rFonts w:asciiTheme="majorHAnsi" w:eastAsiaTheme="majorEastAsia" w:hAnsiTheme="majorHAnsi" w:cstheme="majorBidi"/>
      <w:b/>
      <w:iCs/>
      <w:color w:val="4F748B"/>
      <w:sz w:val="18"/>
      <w:szCs w:val="26"/>
    </w:rPr>
  </w:style>
  <w:style w:type="paragraph" w:styleId="FootnoteText">
    <w:name w:val="footnote text"/>
    <w:basedOn w:val="Normal"/>
    <w:link w:val="FootnoteTextChar"/>
    <w:uiPriority w:val="99"/>
    <w:semiHidden/>
    <w:unhideWhenUsed/>
    <w:rsid w:val="00205362"/>
    <w:pPr>
      <w:spacing w:after="0" w:line="240" w:lineRule="auto"/>
    </w:pPr>
    <w:rPr>
      <w:b/>
      <w:sz w:val="14"/>
      <w:szCs w:val="20"/>
    </w:rPr>
  </w:style>
  <w:style w:type="character" w:customStyle="1" w:styleId="FootnoteTextChar">
    <w:name w:val="Footnote Text Char"/>
    <w:basedOn w:val="DefaultParagraphFont"/>
    <w:link w:val="FootnoteText"/>
    <w:uiPriority w:val="99"/>
    <w:semiHidden/>
    <w:rsid w:val="00205362"/>
    <w:rPr>
      <w:b/>
      <w:sz w:val="14"/>
      <w:szCs w:val="20"/>
    </w:rPr>
  </w:style>
  <w:style w:type="paragraph" w:customStyle="1" w:styleId="Heading2a">
    <w:name w:val="Heading 2a"/>
    <w:basedOn w:val="Heading2"/>
    <w:next w:val="BodyTextFirst"/>
    <w:link w:val="Heading2aChar"/>
    <w:rsid w:val="008054B4"/>
    <w:rPr>
      <w:color w:val="4F748B" w:themeColor="background2"/>
    </w:rPr>
  </w:style>
  <w:style w:type="character" w:customStyle="1" w:styleId="Heading2aChar">
    <w:name w:val="Heading 2a Char"/>
    <w:basedOn w:val="Heading2Char"/>
    <w:link w:val="Heading2a"/>
    <w:rsid w:val="008054B4"/>
    <w:rPr>
      <w:rFonts w:asciiTheme="majorHAnsi" w:eastAsiaTheme="majorEastAsia" w:hAnsiTheme="majorHAnsi" w:cstheme="majorBidi"/>
      <w:b/>
      <w:color w:val="4F748B" w:themeColor="background2"/>
      <w:sz w:val="20"/>
      <w:szCs w:val="26"/>
    </w:rPr>
  </w:style>
  <w:style w:type="paragraph" w:customStyle="1" w:styleId="Heading2b">
    <w:name w:val="Heading 2b"/>
    <w:basedOn w:val="Heading2a"/>
    <w:next w:val="BodyTextFirst"/>
    <w:link w:val="Heading2bChar"/>
    <w:rsid w:val="008054B4"/>
    <w:rPr>
      <w:b w:val="0"/>
    </w:rPr>
  </w:style>
  <w:style w:type="character" w:customStyle="1" w:styleId="Heading2bChar">
    <w:name w:val="Heading 2b Char"/>
    <w:basedOn w:val="Heading2aChar"/>
    <w:link w:val="Heading2b"/>
    <w:rsid w:val="008054B4"/>
    <w:rPr>
      <w:rFonts w:asciiTheme="majorHAnsi" w:eastAsiaTheme="majorEastAsia" w:hAnsiTheme="majorHAnsi" w:cstheme="majorBidi"/>
      <w:b w:val="0"/>
      <w:color w:val="4F748B" w:themeColor="background2"/>
      <w:sz w:val="20"/>
      <w:szCs w:val="26"/>
    </w:rPr>
  </w:style>
  <w:style w:type="paragraph" w:styleId="ListParagraph">
    <w:name w:val="List Paragraph"/>
    <w:basedOn w:val="Normal"/>
    <w:uiPriority w:val="34"/>
    <w:qFormat/>
    <w:rsid w:val="004B11AD"/>
    <w:pPr>
      <w:spacing w:after="0" w:line="240" w:lineRule="auto"/>
      <w:ind w:left="720"/>
    </w:pPr>
  </w:style>
  <w:style w:type="paragraph" w:customStyle="1" w:styleId="FARSchedule1">
    <w:name w:val="FAR Schedule 1"/>
    <w:basedOn w:val="Normal"/>
    <w:uiPriority w:val="3"/>
    <w:qFormat/>
    <w:locked/>
    <w:rsid w:val="004B11AD"/>
    <w:pPr>
      <w:numPr>
        <w:ilvl w:val="2"/>
        <w:numId w:val="7"/>
      </w:numPr>
      <w:spacing w:after="240" w:line="240" w:lineRule="auto"/>
      <w:jc w:val="both"/>
    </w:pPr>
    <w:rPr>
      <w:rFonts w:cs="Times New Roman"/>
      <w:lang w:eastAsia="en-GB"/>
    </w:rPr>
  </w:style>
  <w:style w:type="paragraph" w:customStyle="1" w:styleId="FARSchedule2">
    <w:name w:val="FAR Schedule 2"/>
    <w:basedOn w:val="Normal"/>
    <w:uiPriority w:val="3"/>
    <w:qFormat/>
    <w:locked/>
    <w:rsid w:val="004B11AD"/>
    <w:pPr>
      <w:numPr>
        <w:ilvl w:val="3"/>
        <w:numId w:val="7"/>
      </w:numPr>
      <w:spacing w:after="240" w:line="240" w:lineRule="auto"/>
      <w:jc w:val="both"/>
    </w:pPr>
    <w:rPr>
      <w:rFonts w:cs="Times New Roman"/>
      <w:lang w:eastAsia="en-GB"/>
    </w:rPr>
  </w:style>
  <w:style w:type="paragraph" w:customStyle="1" w:styleId="FARSchedule3">
    <w:name w:val="FAR Schedule 3"/>
    <w:basedOn w:val="Normal"/>
    <w:link w:val="FARSchedule3Char"/>
    <w:uiPriority w:val="3"/>
    <w:qFormat/>
    <w:locked/>
    <w:rsid w:val="004B11AD"/>
    <w:pPr>
      <w:numPr>
        <w:ilvl w:val="4"/>
        <w:numId w:val="7"/>
      </w:numPr>
      <w:spacing w:after="240" w:line="240" w:lineRule="auto"/>
      <w:jc w:val="both"/>
    </w:pPr>
    <w:rPr>
      <w:rFonts w:cs="Times New Roman"/>
      <w:lang w:eastAsia="en-GB"/>
    </w:rPr>
  </w:style>
  <w:style w:type="character" w:customStyle="1" w:styleId="FARSchedule3Char">
    <w:name w:val="FAR Schedule 3 Char"/>
    <w:link w:val="FARSchedule3"/>
    <w:uiPriority w:val="3"/>
    <w:rsid w:val="004B11AD"/>
    <w:rPr>
      <w:rFonts w:cs="Times New Roman"/>
      <w:lang w:eastAsia="en-GB"/>
    </w:rPr>
  </w:style>
  <w:style w:type="paragraph" w:customStyle="1" w:styleId="FARSchedule4">
    <w:name w:val="FAR Schedule 4"/>
    <w:basedOn w:val="Normal"/>
    <w:uiPriority w:val="3"/>
    <w:qFormat/>
    <w:locked/>
    <w:rsid w:val="004B11AD"/>
    <w:pPr>
      <w:numPr>
        <w:ilvl w:val="5"/>
        <w:numId w:val="7"/>
      </w:numPr>
      <w:spacing w:after="240" w:line="240" w:lineRule="auto"/>
      <w:jc w:val="both"/>
    </w:pPr>
    <w:rPr>
      <w:rFonts w:cs="Times New Roman"/>
      <w:lang w:eastAsia="en-GB"/>
    </w:rPr>
  </w:style>
  <w:style w:type="paragraph" w:customStyle="1" w:styleId="FARSchedule5">
    <w:name w:val="FAR Schedule 5"/>
    <w:basedOn w:val="Normal"/>
    <w:uiPriority w:val="3"/>
    <w:qFormat/>
    <w:locked/>
    <w:rsid w:val="004B11AD"/>
    <w:pPr>
      <w:numPr>
        <w:ilvl w:val="6"/>
        <w:numId w:val="7"/>
      </w:numPr>
      <w:spacing w:after="240" w:line="240" w:lineRule="auto"/>
      <w:jc w:val="both"/>
    </w:pPr>
    <w:rPr>
      <w:rFonts w:cs="Times New Roman"/>
      <w:lang w:eastAsia="en-GB"/>
    </w:rPr>
  </w:style>
  <w:style w:type="paragraph" w:customStyle="1" w:styleId="FARSchedule6">
    <w:name w:val="FAR Schedule 6"/>
    <w:basedOn w:val="Normal"/>
    <w:uiPriority w:val="3"/>
    <w:qFormat/>
    <w:locked/>
    <w:rsid w:val="004B11AD"/>
    <w:pPr>
      <w:numPr>
        <w:ilvl w:val="7"/>
        <w:numId w:val="7"/>
      </w:numPr>
      <w:spacing w:after="240" w:line="240" w:lineRule="auto"/>
      <w:jc w:val="both"/>
    </w:pPr>
    <w:rPr>
      <w:rFonts w:cs="Times New Roman"/>
      <w:lang w:eastAsia="en-GB"/>
    </w:rPr>
  </w:style>
  <w:style w:type="paragraph" w:customStyle="1" w:styleId="FARScheduleTitle">
    <w:name w:val="FAR Schedule Title"/>
    <w:basedOn w:val="Normal"/>
    <w:next w:val="FARSchedulePart"/>
    <w:uiPriority w:val="3"/>
    <w:rsid w:val="004B11AD"/>
    <w:pPr>
      <w:keepNext/>
      <w:numPr>
        <w:numId w:val="7"/>
      </w:numPr>
      <w:spacing w:after="240" w:line="240" w:lineRule="auto"/>
      <w:jc w:val="center"/>
      <w:outlineLvl w:val="1"/>
    </w:pPr>
    <w:rPr>
      <w:rFonts w:cs="Times New Roman"/>
      <w:lang w:eastAsia="en-GB"/>
    </w:rPr>
  </w:style>
  <w:style w:type="paragraph" w:customStyle="1" w:styleId="FARSchedulePart">
    <w:name w:val="FAR Schedule Part"/>
    <w:basedOn w:val="Normal"/>
    <w:next w:val="FARSchedule1"/>
    <w:uiPriority w:val="3"/>
    <w:locked/>
    <w:rsid w:val="004B11AD"/>
    <w:pPr>
      <w:keepNext/>
      <w:numPr>
        <w:ilvl w:val="1"/>
        <w:numId w:val="7"/>
      </w:numPr>
      <w:spacing w:after="240" w:line="240" w:lineRule="auto"/>
      <w:ind w:firstLine="57"/>
      <w:jc w:val="center"/>
      <w:outlineLvl w:val="1"/>
    </w:pPr>
    <w:rPr>
      <w:rFonts w:cs="Times New Roman"/>
      <w:lang w:eastAsia="en-GB"/>
    </w:rPr>
  </w:style>
  <w:style w:type="paragraph" w:styleId="PlainText">
    <w:name w:val="Plain Text"/>
    <w:basedOn w:val="Normal"/>
    <w:link w:val="PlainTextChar"/>
    <w:uiPriority w:val="99"/>
    <w:semiHidden/>
    <w:unhideWhenUsed/>
    <w:rsid w:val="004B11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11AD"/>
    <w:rPr>
      <w:rFonts w:ascii="Calibri" w:hAnsi="Calibri"/>
      <w:szCs w:val="21"/>
    </w:rPr>
  </w:style>
  <w:style w:type="character" w:customStyle="1" w:styleId="normaltextrun">
    <w:name w:val="normaltextrun"/>
    <w:basedOn w:val="DefaultParagraphFont"/>
    <w:rsid w:val="00A133AB"/>
  </w:style>
  <w:style w:type="character" w:customStyle="1" w:styleId="eop">
    <w:name w:val="eop"/>
    <w:basedOn w:val="DefaultParagraphFont"/>
    <w:rsid w:val="00A133AB"/>
  </w:style>
  <w:style w:type="character" w:styleId="CommentReference">
    <w:name w:val="annotation reference"/>
    <w:basedOn w:val="DefaultParagraphFont"/>
    <w:uiPriority w:val="99"/>
    <w:semiHidden/>
    <w:unhideWhenUsed/>
    <w:rsid w:val="009A202F"/>
    <w:rPr>
      <w:sz w:val="16"/>
      <w:szCs w:val="16"/>
    </w:rPr>
  </w:style>
  <w:style w:type="paragraph" w:styleId="CommentText">
    <w:name w:val="annotation text"/>
    <w:basedOn w:val="Normal"/>
    <w:link w:val="CommentTextChar"/>
    <w:uiPriority w:val="99"/>
    <w:unhideWhenUsed/>
    <w:rsid w:val="009A202F"/>
    <w:pPr>
      <w:spacing w:line="240" w:lineRule="auto"/>
    </w:pPr>
    <w:rPr>
      <w:sz w:val="20"/>
      <w:szCs w:val="20"/>
    </w:rPr>
  </w:style>
  <w:style w:type="character" w:customStyle="1" w:styleId="CommentTextChar">
    <w:name w:val="Comment Text Char"/>
    <w:basedOn w:val="DefaultParagraphFont"/>
    <w:link w:val="CommentText"/>
    <w:uiPriority w:val="99"/>
    <w:rsid w:val="009A202F"/>
    <w:rPr>
      <w:sz w:val="20"/>
      <w:szCs w:val="20"/>
    </w:rPr>
  </w:style>
  <w:style w:type="paragraph" w:styleId="CommentSubject">
    <w:name w:val="annotation subject"/>
    <w:basedOn w:val="CommentText"/>
    <w:next w:val="CommentText"/>
    <w:link w:val="CommentSubjectChar"/>
    <w:uiPriority w:val="99"/>
    <w:semiHidden/>
    <w:unhideWhenUsed/>
    <w:rsid w:val="009A202F"/>
    <w:rPr>
      <w:b/>
      <w:bCs/>
    </w:rPr>
  </w:style>
  <w:style w:type="character" w:customStyle="1" w:styleId="CommentSubjectChar">
    <w:name w:val="Comment Subject Char"/>
    <w:basedOn w:val="CommentTextChar"/>
    <w:link w:val="CommentSubject"/>
    <w:uiPriority w:val="99"/>
    <w:semiHidden/>
    <w:rsid w:val="009A202F"/>
    <w:rPr>
      <w:b/>
      <w:bCs/>
      <w:sz w:val="20"/>
      <w:szCs w:val="20"/>
    </w:rPr>
  </w:style>
  <w:style w:type="character" w:styleId="UnresolvedMention">
    <w:name w:val="Unresolved Mention"/>
    <w:basedOn w:val="DefaultParagraphFont"/>
    <w:uiPriority w:val="99"/>
    <w:unhideWhenUsed/>
    <w:rsid w:val="000B5326"/>
    <w:rPr>
      <w:color w:val="605E5C"/>
      <w:shd w:val="clear" w:color="auto" w:fill="E1DFDD"/>
    </w:rPr>
  </w:style>
  <w:style w:type="paragraph" w:styleId="Revision">
    <w:name w:val="Revision"/>
    <w:hidden/>
    <w:uiPriority w:val="99"/>
    <w:semiHidden/>
    <w:rsid w:val="00960336"/>
    <w:pPr>
      <w:spacing w:after="0" w:line="240" w:lineRule="auto"/>
    </w:pPr>
  </w:style>
  <w:style w:type="character" w:styleId="Mention">
    <w:name w:val="Mention"/>
    <w:basedOn w:val="DefaultParagraphFont"/>
    <w:uiPriority w:val="99"/>
    <w:unhideWhenUsed/>
    <w:rsid w:val="00995131"/>
    <w:rPr>
      <w:color w:val="2B579A"/>
      <w:shd w:val="clear" w:color="auto" w:fill="E1DFDD"/>
    </w:rPr>
  </w:style>
  <w:style w:type="character" w:styleId="SmartLink">
    <w:name w:val="Smart Link"/>
    <w:basedOn w:val="DefaultParagraphFont"/>
    <w:uiPriority w:val="99"/>
    <w:semiHidden/>
    <w:unhideWhenUsed/>
    <w:rsid w:val="007320B8"/>
    <w:rPr>
      <w:color w:val="0000FF"/>
      <w:u w:val="single"/>
      <w:shd w:val="clear" w:color="auto" w:fill="F3F2F1"/>
    </w:rPr>
  </w:style>
  <w:style w:type="character" w:styleId="FollowedHyperlink">
    <w:name w:val="FollowedHyperlink"/>
    <w:basedOn w:val="DefaultParagraphFont"/>
    <w:uiPriority w:val="99"/>
    <w:semiHidden/>
    <w:unhideWhenUsed/>
    <w:rsid w:val="00E100F8"/>
    <w:rPr>
      <w:color w:val="4F748B" w:themeColor="followedHyperlink"/>
      <w:u w:val="single"/>
    </w:rPr>
  </w:style>
  <w:style w:type="paragraph" w:styleId="NormalWeb">
    <w:name w:val="Normal (Web)"/>
    <w:basedOn w:val="Normal"/>
    <w:uiPriority w:val="99"/>
    <w:unhideWhenUsed/>
    <w:rsid w:val="000253B5"/>
    <w:pPr>
      <w:spacing w:after="0" w:line="240" w:lineRule="auto"/>
    </w:pPr>
    <w:rPr>
      <w:rFonts w:ascii="Calibri" w:hAnsi="Calibri" w:cs="Calibri"/>
      <w:lang w:eastAsia="en-GB"/>
    </w:rPr>
  </w:style>
  <w:style w:type="paragraph" w:customStyle="1" w:styleId="Default">
    <w:name w:val="Default"/>
    <w:rsid w:val="00984D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4180">
      <w:bodyDiv w:val="1"/>
      <w:marLeft w:val="0"/>
      <w:marRight w:val="0"/>
      <w:marTop w:val="0"/>
      <w:marBottom w:val="0"/>
      <w:divBdr>
        <w:top w:val="none" w:sz="0" w:space="0" w:color="auto"/>
        <w:left w:val="none" w:sz="0" w:space="0" w:color="auto"/>
        <w:bottom w:val="none" w:sz="0" w:space="0" w:color="auto"/>
        <w:right w:val="none" w:sz="0" w:space="0" w:color="auto"/>
      </w:divBdr>
    </w:div>
    <w:div w:id="509610637">
      <w:bodyDiv w:val="1"/>
      <w:marLeft w:val="0"/>
      <w:marRight w:val="0"/>
      <w:marTop w:val="0"/>
      <w:marBottom w:val="0"/>
      <w:divBdr>
        <w:top w:val="none" w:sz="0" w:space="0" w:color="auto"/>
        <w:left w:val="none" w:sz="0" w:space="0" w:color="auto"/>
        <w:bottom w:val="none" w:sz="0" w:space="0" w:color="auto"/>
        <w:right w:val="none" w:sz="0" w:space="0" w:color="auto"/>
      </w:divBdr>
    </w:div>
    <w:div w:id="842822825">
      <w:bodyDiv w:val="1"/>
      <w:marLeft w:val="0"/>
      <w:marRight w:val="0"/>
      <w:marTop w:val="0"/>
      <w:marBottom w:val="0"/>
      <w:divBdr>
        <w:top w:val="none" w:sz="0" w:space="0" w:color="auto"/>
        <w:left w:val="none" w:sz="0" w:space="0" w:color="auto"/>
        <w:bottom w:val="none" w:sz="0" w:space="0" w:color="auto"/>
        <w:right w:val="none" w:sz="0" w:space="0" w:color="auto"/>
      </w:divBdr>
    </w:div>
    <w:div w:id="1201894672">
      <w:bodyDiv w:val="1"/>
      <w:marLeft w:val="0"/>
      <w:marRight w:val="0"/>
      <w:marTop w:val="0"/>
      <w:marBottom w:val="0"/>
      <w:divBdr>
        <w:top w:val="none" w:sz="0" w:space="0" w:color="auto"/>
        <w:left w:val="none" w:sz="0" w:space="0" w:color="auto"/>
        <w:bottom w:val="none" w:sz="0" w:space="0" w:color="auto"/>
        <w:right w:val="none" w:sz="0" w:space="0" w:color="auto"/>
      </w:divBdr>
    </w:div>
    <w:div w:id="1234468776">
      <w:bodyDiv w:val="1"/>
      <w:marLeft w:val="0"/>
      <w:marRight w:val="0"/>
      <w:marTop w:val="0"/>
      <w:marBottom w:val="0"/>
      <w:divBdr>
        <w:top w:val="none" w:sz="0" w:space="0" w:color="auto"/>
        <w:left w:val="none" w:sz="0" w:space="0" w:color="auto"/>
        <w:bottom w:val="none" w:sz="0" w:space="0" w:color="auto"/>
        <w:right w:val="none" w:sz="0" w:space="0" w:color="auto"/>
      </w:divBdr>
    </w:div>
    <w:div w:id="1255936005">
      <w:bodyDiv w:val="1"/>
      <w:marLeft w:val="0"/>
      <w:marRight w:val="0"/>
      <w:marTop w:val="0"/>
      <w:marBottom w:val="0"/>
      <w:divBdr>
        <w:top w:val="none" w:sz="0" w:space="0" w:color="auto"/>
        <w:left w:val="none" w:sz="0" w:space="0" w:color="auto"/>
        <w:bottom w:val="none" w:sz="0" w:space="0" w:color="auto"/>
        <w:right w:val="none" w:sz="0" w:space="0" w:color="auto"/>
      </w:divBdr>
    </w:div>
    <w:div w:id="1276329363">
      <w:bodyDiv w:val="1"/>
      <w:marLeft w:val="0"/>
      <w:marRight w:val="0"/>
      <w:marTop w:val="0"/>
      <w:marBottom w:val="0"/>
      <w:divBdr>
        <w:top w:val="none" w:sz="0" w:space="0" w:color="auto"/>
        <w:left w:val="none" w:sz="0" w:space="0" w:color="auto"/>
        <w:bottom w:val="none" w:sz="0" w:space="0" w:color="auto"/>
        <w:right w:val="none" w:sz="0" w:space="0" w:color="auto"/>
      </w:divBdr>
    </w:div>
    <w:div w:id="1276984018">
      <w:bodyDiv w:val="1"/>
      <w:marLeft w:val="0"/>
      <w:marRight w:val="0"/>
      <w:marTop w:val="0"/>
      <w:marBottom w:val="0"/>
      <w:divBdr>
        <w:top w:val="none" w:sz="0" w:space="0" w:color="auto"/>
        <w:left w:val="none" w:sz="0" w:space="0" w:color="auto"/>
        <w:bottom w:val="none" w:sz="0" w:space="0" w:color="auto"/>
        <w:right w:val="none" w:sz="0" w:space="0" w:color="auto"/>
      </w:divBdr>
    </w:div>
    <w:div w:id="1303389645">
      <w:bodyDiv w:val="1"/>
      <w:marLeft w:val="0"/>
      <w:marRight w:val="0"/>
      <w:marTop w:val="0"/>
      <w:marBottom w:val="0"/>
      <w:divBdr>
        <w:top w:val="none" w:sz="0" w:space="0" w:color="auto"/>
        <w:left w:val="none" w:sz="0" w:space="0" w:color="auto"/>
        <w:bottom w:val="none" w:sz="0" w:space="0" w:color="auto"/>
        <w:right w:val="none" w:sz="0" w:space="0" w:color="auto"/>
      </w:divBdr>
    </w:div>
    <w:div w:id="1596287733">
      <w:bodyDiv w:val="1"/>
      <w:marLeft w:val="0"/>
      <w:marRight w:val="0"/>
      <w:marTop w:val="0"/>
      <w:marBottom w:val="0"/>
      <w:divBdr>
        <w:top w:val="none" w:sz="0" w:space="0" w:color="auto"/>
        <w:left w:val="none" w:sz="0" w:space="0" w:color="auto"/>
        <w:bottom w:val="none" w:sz="0" w:space="0" w:color="auto"/>
        <w:right w:val="none" w:sz="0" w:space="0" w:color="auto"/>
      </w:divBdr>
    </w:div>
    <w:div w:id="17913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zette.web.ox.ac.uk/sites/default/files/gazette/documents/media/10_december_2020_-_no_5297_redacted.pdf?utm_source=101220_spark&amp;utm_medium=email&amp;utm_campaign=text" TargetMode="External"/><Relationship Id="rId18" Type="http://schemas.openxmlformats.org/officeDocument/2006/relationships/hyperlink" Target="https://www.ouem.co.uk/esg-management/task-force-on-climate-related-financial-disclosure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ouem.co.uk/" TargetMode="External"/><Relationship Id="rId7" Type="http://schemas.openxmlformats.org/officeDocument/2006/relationships/settings" Target="settings.xml"/><Relationship Id="rId12" Type="http://schemas.openxmlformats.org/officeDocument/2006/relationships/hyperlink" Target="https://governance.admin.ox.ac.uk/legislation/part-23-investment-committee" TargetMode="External"/><Relationship Id="rId17" Type="http://schemas.openxmlformats.org/officeDocument/2006/relationships/hyperlink" Target="http://www.ouem.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azette.web.ox.ac.uk/files/26march2020-no5272pdf" TargetMode="External"/><Relationship Id="rId20" Type="http://schemas.openxmlformats.org/officeDocument/2006/relationships/hyperlink" Target="http://www.ouem.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ac.uk/about/organisation/finance-and-funding/oxfords-endowment/oxford-university-investment-policy-stat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overnance.admin.ox.ac.uk/ethical-investment-representations-review-subcommittee/ethical-investments-review"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uem.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admin.ox.ac.uk/ethical-investment-representations-review-subcommitte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d\appdata\roaming\microsoft\templates\OUem\Blank.dotx" TargetMode="External"/></Relationships>
</file>

<file path=word/documenttasks/documenttasks1.xml><?xml version="1.0" encoding="utf-8"?>
<t:Tasks xmlns:t="http://schemas.microsoft.com/office/tasks/2019/documenttasks" xmlns:oel="http://schemas.microsoft.com/office/2019/extlst">
  <t:Task id="{62C675B0-2225-4CD2-B4F4-AFBDEB26D3D6}">
    <t:Anchor>
      <t:Comment id="493015719"/>
    </t:Anchor>
    <t:History>
      <t:Event id="{1E671E07-B85E-48D0-B7DA-1243EA30B221}" time="2024-05-17T16:06:33.151Z">
        <t:Attribution userId="S::boden@OUEM.co.uk::48b03a5e-2969-44f0-bbbe-b40a5c0e777b" userProvider="AD" userName="Bryn Boden"/>
        <t:Anchor>
          <t:Comment id="2070327931"/>
        </t:Anchor>
        <t:Create/>
      </t:Event>
      <t:Event id="{54427C6F-97A7-41DA-9BB7-F39872F40986}" time="2024-05-17T16:06:33.151Z">
        <t:Attribution userId="S::boden@OUEM.co.uk::48b03a5e-2969-44f0-bbbe-b40a5c0e777b" userProvider="AD" userName="Bryn Boden"/>
        <t:Anchor>
          <t:Comment id="2070327931"/>
        </t:Anchor>
        <t:Assign userId="S::coad@ouem.co.uk::828aebc1-4a25-4a44-9ca1-b49acba45885" userProvider="AD" userName="Antonia Coad"/>
      </t:Event>
      <t:Event id="{66697668-F703-4044-9222-90BFF38580BE}" time="2024-05-17T16:06:33.151Z">
        <t:Attribution userId="S::boden@OUEM.co.uk::48b03a5e-2969-44f0-bbbe-b40a5c0e777b" userProvider="AD" userName="Bryn Boden"/>
        <t:Anchor>
          <t:Comment id="2070327931"/>
        </t:Anchor>
        <t:SetTitle title="@Antonia Coad I can’t find any data for 2019, 4 year might be the best we can do?"/>
      </t:Event>
    </t:History>
  </t:Task>
</t:Tasks>
</file>

<file path=word/theme/theme1.xml><?xml version="1.0" encoding="utf-8"?>
<a:theme xmlns:a="http://schemas.openxmlformats.org/drawingml/2006/main" name="Office Theme">
  <a:themeElements>
    <a:clrScheme name="OUem 2017">
      <a:dk1>
        <a:srgbClr val="000000"/>
      </a:dk1>
      <a:lt1>
        <a:srgbClr val="FFFFFF"/>
      </a:lt1>
      <a:dk2>
        <a:srgbClr val="77777B"/>
      </a:dk2>
      <a:lt2>
        <a:srgbClr val="4F748B"/>
      </a:lt2>
      <a:accent1>
        <a:srgbClr val="00ADD9"/>
      </a:accent1>
      <a:accent2>
        <a:srgbClr val="001F60"/>
      </a:accent2>
      <a:accent3>
        <a:srgbClr val="C5BCB7"/>
      </a:accent3>
      <a:accent4>
        <a:srgbClr val="E5B8CC"/>
      </a:accent4>
      <a:accent5>
        <a:srgbClr val="4FDBFF"/>
      </a:accent5>
      <a:accent6>
        <a:srgbClr val="3073FF"/>
      </a:accent6>
      <a:hlink>
        <a:srgbClr val="4F748B"/>
      </a:hlink>
      <a:folHlink>
        <a:srgbClr val="4F748B"/>
      </a:folHlink>
    </a:clrScheme>
    <a:fontScheme name="OUem">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8ccc90-9215-4ebd-a600-8544797d1eb9">
      <UserInfo>
        <DisplayName>Sandra Robertson</DisplayName>
        <AccountId>17</AccountId>
        <AccountType/>
      </UserInfo>
      <UserInfo>
        <DisplayName>Antonia Coad</DisplayName>
        <AccountId>16</AccountId>
        <AccountType/>
      </UserInfo>
      <UserInfo>
        <DisplayName>Bryn Boden</DisplayName>
        <AccountId>72</AccountId>
        <AccountType/>
      </UserInfo>
    </SharedWithUsers>
    <Committee xmlns="adcdf720-a9da-43cf-acd5-921014a0f611" xsi:nil="true"/>
    <Date xmlns="adcdf720-a9da-43cf-acd5-921014a0f611" xsi:nil="true"/>
    <Information xmlns="adcdf720-a9da-43cf-acd5-921014a0f61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4F765BC6C8C49B65E0BAF37369D26" ma:contentTypeVersion="17" ma:contentTypeDescription="Create a new document." ma:contentTypeScope="" ma:versionID="98ccf79c04fbe11cd90c22f084fa38bd">
  <xsd:schema xmlns:xsd="http://www.w3.org/2001/XMLSchema" xmlns:xs="http://www.w3.org/2001/XMLSchema" xmlns:p="http://schemas.microsoft.com/office/2006/metadata/properties" xmlns:ns2="adcdf720-a9da-43cf-acd5-921014a0f611" xmlns:ns3="b28ccc90-9215-4ebd-a600-8544797d1eb9" targetNamespace="http://schemas.microsoft.com/office/2006/metadata/properties" ma:root="true" ma:fieldsID="2808bebca9d1a6854a6864adacf1d48a" ns2:_="" ns3:_="">
    <xsd:import namespace="adcdf720-a9da-43cf-acd5-921014a0f611"/>
    <xsd:import namespace="b28ccc90-9215-4ebd-a600-8544797d1eb9"/>
    <xsd:element name="properties">
      <xsd:complexType>
        <xsd:sequence>
          <xsd:element name="documentManagement">
            <xsd:complexType>
              <xsd:all>
                <xsd:element ref="ns2:MediaServiceMetadata" minOccurs="0"/>
                <xsd:element ref="ns2:MediaServiceFastMetadata" minOccurs="0"/>
                <xsd:element ref="ns2:Committee" minOccurs="0"/>
                <xsd:element ref="ns2:Information" minOccurs="0"/>
                <xsd:element ref="ns2:Date"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f720-a9da-43cf-acd5-921014a0f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ittee" ma:index="10" nillable="true" ma:displayName="Committee" ma:format="Dropdown" ma:indexed="true" ma:internalName="Committee">
      <xsd:simpleType>
        <xsd:restriction base="dms:Choice">
          <xsd:enumeration value="Audit &amp; Scrutiny"/>
          <xsd:enumeration value="College Contribution"/>
          <xsd:enumeration value="Council &amp; GPC"/>
          <xsd:enumeration value="Investment"/>
          <xsd:enumeration value="Other"/>
          <xsd:enumeration value="OU Environmental Sustainability Working Group"/>
          <xsd:enumeration value="SRIR"/>
          <xsd:enumeration value="Valuation"/>
          <xsd:enumeration value="ERRIS"/>
        </xsd:restriction>
      </xsd:simpleType>
    </xsd:element>
    <xsd:element name="Information" ma:index="11" nillable="true" ma:displayName="Information" ma:format="Dropdown" ma:indexed="true" ma:internalName="Information">
      <xsd:simpleType>
        <xsd:restriction base="dms:Choice">
          <xsd:enumeration value="Final papers"/>
          <xsd:enumeration value="Workings"/>
          <xsd:enumeration value="Membership"/>
          <xsd:enumeration value="Minutes"/>
          <xsd:enumeration value="Agenda"/>
          <xsd:enumeration value="Administration"/>
          <xsd:enumeration value="Approvals"/>
          <xsd:enumeration value="Terms of Reference"/>
          <xsd:enumeration value="Reports"/>
        </xsd:restriction>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ccc90-9215-4ebd-a600-8544797d1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41A44-FA4E-4020-8329-803FD92735AC}">
  <ds:schemaRefs>
    <ds:schemaRef ds:uri="http://schemas.microsoft.com/office/2006/metadata/properties"/>
    <ds:schemaRef ds:uri="http://schemas.microsoft.com/office/infopath/2007/PartnerControls"/>
    <ds:schemaRef ds:uri="b28ccc90-9215-4ebd-a600-8544797d1eb9"/>
    <ds:schemaRef ds:uri="adcdf720-a9da-43cf-acd5-921014a0f611"/>
  </ds:schemaRefs>
</ds:datastoreItem>
</file>

<file path=customXml/itemProps2.xml><?xml version="1.0" encoding="utf-8"?>
<ds:datastoreItem xmlns:ds="http://schemas.openxmlformats.org/officeDocument/2006/customXml" ds:itemID="{E026F55D-B306-4653-B980-0EE42013DF1D}">
  <ds:schemaRefs>
    <ds:schemaRef ds:uri="http://schemas.openxmlformats.org/officeDocument/2006/bibliography"/>
  </ds:schemaRefs>
</ds:datastoreItem>
</file>

<file path=customXml/itemProps3.xml><?xml version="1.0" encoding="utf-8"?>
<ds:datastoreItem xmlns:ds="http://schemas.openxmlformats.org/officeDocument/2006/customXml" ds:itemID="{37524A61-FD68-42AC-9E58-6406DF2E60A6}">
  <ds:schemaRefs>
    <ds:schemaRef ds:uri="http://schemas.microsoft.com/sharepoint/v3/contenttype/forms"/>
  </ds:schemaRefs>
</ds:datastoreItem>
</file>

<file path=customXml/itemProps4.xml><?xml version="1.0" encoding="utf-8"?>
<ds:datastoreItem xmlns:ds="http://schemas.openxmlformats.org/officeDocument/2006/customXml" ds:itemID="{B56B2E6A-7CEB-4DA7-B5E7-07FC482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f720-a9da-43cf-acd5-921014a0f611"/>
    <ds:schemaRef ds:uri="b28ccc90-9215-4ebd-a600-8544797d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C:\users\coad\appdata\roaming\microsoft\templates\OUem\Blank.dotx</Template>
  <TotalTime>0</TotalTime>
  <Pages>10</Pages>
  <Words>5141</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34383</CharactersWithSpaces>
  <SharedDoc>false</SharedDoc>
  <HLinks>
    <vt:vector size="66" baseType="variant">
      <vt:variant>
        <vt:i4>5111812</vt:i4>
      </vt:variant>
      <vt:variant>
        <vt:i4>30</vt:i4>
      </vt:variant>
      <vt:variant>
        <vt:i4>0</vt:i4>
      </vt:variant>
      <vt:variant>
        <vt:i4>5</vt:i4>
      </vt:variant>
      <vt:variant>
        <vt:lpwstr>C:\Users\coad\AppData\Local\Microsoft\Windows\INetCache\Content.Outlook\FC82AEEG\www.ouem.co.uk</vt:lpwstr>
      </vt:variant>
      <vt:variant>
        <vt:lpwstr/>
      </vt:variant>
      <vt:variant>
        <vt:i4>3801198</vt:i4>
      </vt:variant>
      <vt:variant>
        <vt:i4>27</vt:i4>
      </vt:variant>
      <vt:variant>
        <vt:i4>0</vt:i4>
      </vt:variant>
      <vt:variant>
        <vt:i4>5</vt:i4>
      </vt:variant>
      <vt:variant>
        <vt:lpwstr>http://www.ouem.co.uk/</vt:lpwstr>
      </vt:variant>
      <vt:variant>
        <vt:lpwstr/>
      </vt:variant>
      <vt:variant>
        <vt:i4>3801198</vt:i4>
      </vt:variant>
      <vt:variant>
        <vt:i4>24</vt:i4>
      </vt:variant>
      <vt:variant>
        <vt:i4>0</vt:i4>
      </vt:variant>
      <vt:variant>
        <vt:i4>5</vt:i4>
      </vt:variant>
      <vt:variant>
        <vt:lpwstr>http://www.ouem.co.uk/</vt:lpwstr>
      </vt:variant>
      <vt:variant>
        <vt:lpwstr/>
      </vt:variant>
      <vt:variant>
        <vt:i4>7078004</vt:i4>
      </vt:variant>
      <vt:variant>
        <vt:i4>21</vt:i4>
      </vt:variant>
      <vt:variant>
        <vt:i4>0</vt:i4>
      </vt:variant>
      <vt:variant>
        <vt:i4>5</vt:i4>
      </vt:variant>
      <vt:variant>
        <vt:lpwstr>https://www.ouem.co.uk/esg-management/task-force-on-climate-related-financial-disclosures/</vt:lpwstr>
      </vt:variant>
      <vt:variant>
        <vt:lpwstr/>
      </vt:variant>
      <vt:variant>
        <vt:i4>3801198</vt:i4>
      </vt:variant>
      <vt:variant>
        <vt:i4>18</vt:i4>
      </vt:variant>
      <vt:variant>
        <vt:i4>0</vt:i4>
      </vt:variant>
      <vt:variant>
        <vt:i4>5</vt:i4>
      </vt:variant>
      <vt:variant>
        <vt:lpwstr>http://www.ouem.co.uk/</vt:lpwstr>
      </vt:variant>
      <vt:variant>
        <vt:lpwstr/>
      </vt:variant>
      <vt:variant>
        <vt:i4>1966096</vt:i4>
      </vt:variant>
      <vt:variant>
        <vt:i4>15</vt:i4>
      </vt:variant>
      <vt:variant>
        <vt:i4>0</vt:i4>
      </vt:variant>
      <vt:variant>
        <vt:i4>5</vt:i4>
      </vt:variant>
      <vt:variant>
        <vt:lpwstr>https://gazette.web.ox.ac.uk/files/26march2020-no5272pdf</vt:lpwstr>
      </vt:variant>
      <vt:variant>
        <vt:lpwstr/>
      </vt:variant>
      <vt:variant>
        <vt:i4>7667769</vt:i4>
      </vt:variant>
      <vt:variant>
        <vt:i4>12</vt:i4>
      </vt:variant>
      <vt:variant>
        <vt:i4>0</vt:i4>
      </vt:variant>
      <vt:variant>
        <vt:i4>5</vt:i4>
      </vt:variant>
      <vt:variant>
        <vt:lpwstr>https://governance.admin.ox.ac.uk/ethical-investment-representations-review-subcommittee/ethical-investments-review</vt:lpwstr>
      </vt:variant>
      <vt:variant>
        <vt:lpwstr/>
      </vt:variant>
      <vt:variant>
        <vt:i4>655368</vt:i4>
      </vt:variant>
      <vt:variant>
        <vt:i4>9</vt:i4>
      </vt:variant>
      <vt:variant>
        <vt:i4>0</vt:i4>
      </vt:variant>
      <vt:variant>
        <vt:i4>5</vt:i4>
      </vt:variant>
      <vt:variant>
        <vt:lpwstr>https://governance.admin.ox.ac.uk/ethical-investment-representations-review-subcommittee</vt:lpwstr>
      </vt:variant>
      <vt:variant>
        <vt:lpwstr/>
      </vt:variant>
      <vt:variant>
        <vt:i4>4456530</vt:i4>
      </vt:variant>
      <vt:variant>
        <vt:i4>6</vt:i4>
      </vt:variant>
      <vt:variant>
        <vt:i4>0</vt:i4>
      </vt:variant>
      <vt:variant>
        <vt:i4>5</vt:i4>
      </vt:variant>
      <vt:variant>
        <vt:lpwstr>https://gazette.web.ox.ac.uk/sites/default/files/gazette/documents/media/10_december_2020_-_no_5297_redacted.pdf?utm_source=101220_spark&amp;utm_medium=email&amp;utm_campaign=text</vt:lpwstr>
      </vt:variant>
      <vt:variant>
        <vt:lpwstr/>
      </vt:variant>
      <vt:variant>
        <vt:i4>2228259</vt:i4>
      </vt:variant>
      <vt:variant>
        <vt:i4>3</vt:i4>
      </vt:variant>
      <vt:variant>
        <vt:i4>0</vt:i4>
      </vt:variant>
      <vt:variant>
        <vt:i4>5</vt:i4>
      </vt:variant>
      <vt:variant>
        <vt:lpwstr>https://governance.admin.ox.ac.uk/legislation/part-23-investment-committee</vt:lpwstr>
      </vt:variant>
      <vt:variant>
        <vt:lpwstr/>
      </vt:variant>
      <vt:variant>
        <vt:i4>7733360</vt:i4>
      </vt:variant>
      <vt:variant>
        <vt:i4>0</vt:i4>
      </vt:variant>
      <vt:variant>
        <vt:i4>0</vt:i4>
      </vt:variant>
      <vt:variant>
        <vt:i4>5</vt:i4>
      </vt:variant>
      <vt:variant>
        <vt:lpwstr>https://www.ox.ac.uk/about/organisation/finance-and-funding/oxfords-endowment/oxford-university-investment-policy-statement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Coad</dc:creator>
  <cp:keywords/>
  <cp:lastModifiedBy>John Odro</cp:lastModifiedBy>
  <cp:revision>2</cp:revision>
  <cp:lastPrinted>2025-07-03T15:41:00Z</cp:lastPrinted>
  <dcterms:created xsi:type="dcterms:W3CDTF">2026-02-23T12:33:00Z</dcterms:created>
  <dcterms:modified xsi:type="dcterms:W3CDTF">2026-02-23T12:33:00Z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0x0101008B04F765BC6C8C49B65E0BAF37369D26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